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Sales</w:t>
      </w:r>
      <w:r>
        <w:t xml:space="preserve"> </w:t>
      </w:r>
      <w:r>
        <w:t xml:space="preserve">Report:</w:t>
      </w:r>
      <w:r>
        <w:t xml:space="preserve"> </w:t>
      </w:r>
      <w:r>
        <w:t xml:space="preserve">Colombia</w:t>
      </w:r>
      <w:r>
        <w:t xml:space="preserve"> </w:t>
      </w:r>
      <w:r>
        <w:t xml:space="preserve">Bogotá</w:t>
      </w:r>
      <w:r>
        <w:t xml:space="preserve"> </w:t>
      </w:r>
      <w:r>
        <w:t xml:space="preserve">Market</w:t>
      </w:r>
      <w:r>
        <w:t xml:space="preserve"> </w:t>
      </w:r>
      <w:r>
        <w:t xml:space="preserve">Analysis</w:t>
      </w:r>
    </w:p>
    <w:bookmarkStart w:id="28" w:name="X2da9a524984e5f3301de1b1522ff8f41c87e9d8"/>
    <w:p>
      <w:pPr>
        <w:pStyle w:val="Heading1"/>
      </w:pPr>
      <w:r>
        <w:t xml:space="preserve">Comprehensive Sales Report: Radiology Services &amp; Technology Market in Colombia Bogotá</w:t>
      </w:r>
    </w:p>
    <w:bookmarkStart w:id="20" w:name="executive-summary"/>
    <w:p>
      <w:pPr>
        <w:pStyle w:val="Heading2"/>
      </w:pPr>
      <w:r>
        <w:t xml:space="preserve">Executive Summary</w:t>
      </w:r>
    </w:p>
    <w:p>
      <w:pPr>
        <w:pStyle w:val="FirstParagraph"/>
      </w:pPr>
      <w:r>
        <w:t xml:space="preserve">This Sales Report provides an in-depth analysis of the radiology services and technology market across Colombia Bogotá, focusing on opportunities for radiologist partnerships, equipment sales, and digital imaging solutions. As the healthcare hub of Colombia with over 7.5 million residents, Bogotá represents a critical growth frontier for medical imaging providers. Our strategic focus on collaborating with local Radiologists has driven a 22% year-over-year increase in service adoption during Q1-Q3 2023, demonstrating strong market penetration despite regulatory complexities unique to Colombia's healthcare ecosystem.</w:t>
      </w:r>
    </w:p>
    <w:bookmarkEnd w:id="20"/>
    <w:bookmarkStart w:id="21" w:name="Xd895fe8ab9e96e72435763a7d3ba74f9b034c23"/>
    <w:p>
      <w:pPr>
        <w:pStyle w:val="Heading2"/>
      </w:pPr>
      <w:r>
        <w:t xml:space="preserve">Market Context: Radiologist Landscape in Colombia Bogotá</w:t>
      </w:r>
    </w:p>
    <w:p>
      <w:pPr>
        <w:pStyle w:val="FirstParagraph"/>
      </w:pPr>
      <w:r>
        <w:t xml:space="preserve">Bogotá hosts 68% of Colombia's certified Radiologists (approximately 1,850 professionals), concentrated in private clinics, university hospitals (e.g., Universidad Nacional, Clínica Las Américas), and emerging diagnostic centers. The city's rapid urbanization and aging population have created a 32% annual increase in imaging demand since 2019. However, infrastructure limitations persist: only 45% of Radiologists operate with full digital workflow systems compared to 83% in major global cities. This gap presents significant sales opportunities for advanced PACS (Picture Archiving and Communication Systems) and AI-assisted diagnostic tools tailored to Colombia Bogotá's clinical workflows.</w:t>
      </w:r>
    </w:p>
    <w:bookmarkEnd w:id="21"/>
    <w:bookmarkStart w:id="22" w:name="quarterly-sales-performance-analysis"/>
    <w:p>
      <w:pPr>
        <w:pStyle w:val="Heading2"/>
      </w:pPr>
      <w:r>
        <w:t xml:space="preserve">Quarterly Sales Performance Analysis</w:t>
      </w:r>
    </w:p>
    <w:p>
      <w:pPr>
        <w:pStyle w:val="FirstParagraph"/>
      </w:pPr>
      <w:r>
        <w:t xml:space="preserve">Our Q1-Q3 2023 Sales Report reveals robust momentum in key segments:</w:t>
      </w:r>
    </w:p>
    <w:p>
      <w:pPr>
        <w:numPr>
          <w:ilvl w:val="0"/>
          <w:numId w:val="1001"/>
        </w:numPr>
        <w:pStyle w:val="Compact"/>
      </w:pPr>
      <w:r>
        <w:rPr>
          <w:bCs/>
          <w:b/>
        </w:rPr>
        <w:t xml:space="preserve">Digital Imaging Systems:</w:t>
      </w:r>
      <w:r>
        <w:t xml:space="preserve"> </w:t>
      </w:r>
      <w:r>
        <w:t xml:space="preserve">187 units sold (vs. 145 in same period 2022), driven by demand for portable ultrasound and low-cost CT alternatives</w:t>
      </w:r>
    </w:p>
    <w:p>
      <w:pPr>
        <w:numPr>
          <w:ilvl w:val="0"/>
          <w:numId w:val="1001"/>
        </w:numPr>
        <w:pStyle w:val="Compact"/>
      </w:pPr>
      <w:r>
        <w:rPr>
          <w:bCs/>
          <w:b/>
        </w:rPr>
        <w:t xml:space="preserve">Radiologist Partnership Programs:</w:t>
      </w:r>
      <w:r>
        <w:t xml:space="preserve"> </w:t>
      </w:r>
      <w:r>
        <w:t xml:space="preserve">Signed agreements with 32 Radiologists across Bogotá's top-tier diagnostic centers, generating $1.8M in recurring revenue</w:t>
      </w:r>
    </w:p>
    <w:p>
      <w:pPr>
        <w:numPr>
          <w:ilvl w:val="0"/>
          <w:numId w:val="1001"/>
        </w:numPr>
        <w:pStyle w:val="Compact"/>
      </w:pPr>
      <w:r>
        <w:rPr>
          <w:bCs/>
          <w:b/>
        </w:rPr>
        <w:t xml:space="preserve">AI Diagnostic Tools:</w:t>
      </w:r>
      <w:r>
        <w:t xml:space="preserve"> </w:t>
      </w:r>
      <w:r>
        <w:t xml:space="preserve">47% adoption rate among early-adopter Radiologists for mammography and oncology applications</w:t>
      </w:r>
    </w:p>
    <w:p>
      <w:pPr>
        <w:numPr>
          <w:ilvl w:val="0"/>
          <w:numId w:val="1001"/>
        </w:numPr>
        <w:pStyle w:val="Compact"/>
      </w:pPr>
      <w:r>
        <w:rPr>
          <w:bCs/>
          <w:b/>
        </w:rPr>
        <w:t xml:space="preserve">Service Contracts:</w:t>
      </w:r>
      <w:r>
        <w:t xml:space="preserve"> </w:t>
      </w:r>
      <w:r>
        <w:t xml:space="preserve">63 new maintenance agreements securing $520K in annualized service revenue</w:t>
      </w:r>
    </w:p>
    <w:p>
      <w:pPr>
        <w:pStyle w:val="FirstParagraph"/>
      </w:pPr>
      <w:r>
        <w:t xml:space="preserve">The Bogotá market demonstrated exceptional resilience during Colombia's recent healthcare reforms. Despite the 2023 medical equipment import tax increase (17% for non-essential devices), we maintained a 9.7% market share by emphasizing localized value propositions—such as multilingual training for Radiologists and compliance with ANMAT (Colombian Medical Device Authority) standards.</w:t>
      </w:r>
    </w:p>
    <w:bookmarkEnd w:id="22"/>
    <w:bookmarkStart w:id="23" w:name="key-success-factors-driving-sales"/>
    <w:p>
      <w:pPr>
        <w:pStyle w:val="Heading2"/>
      </w:pPr>
      <w:r>
        <w:t xml:space="preserve">Key Success Factors Driving Sales</w:t>
      </w:r>
    </w:p>
    <w:p>
      <w:pPr>
        <w:pStyle w:val="FirstParagraph"/>
      </w:pPr>
      <w:r>
        <w:t xml:space="preserve">Three strategic initiatives directly contributed to our Sales Report achievements in Colombia Bogotá:</w:t>
      </w:r>
    </w:p>
    <w:p>
      <w:pPr>
        <w:numPr>
          <w:ilvl w:val="0"/>
          <w:numId w:val="1002"/>
        </w:numPr>
        <w:pStyle w:val="Compact"/>
      </w:pPr>
      <w:r>
        <w:rPr>
          <w:bCs/>
          <w:b/>
        </w:rPr>
        <w:t xml:space="preserve">Cultural Integration Workshops:</w:t>
      </w:r>
      <w:r>
        <w:t xml:space="preserve"> </w:t>
      </w:r>
      <w:r>
        <w:t xml:space="preserve">Partnering with the Colombian Society of Radiology (SCR) to host bilingual training sessions where our technical teams co-developed protocols with local Radiologists. This built trust and accelerated equipment adoption by 38%.</w:t>
      </w:r>
    </w:p>
    <w:p>
      <w:pPr>
        <w:numPr>
          <w:ilvl w:val="0"/>
          <w:numId w:val="1002"/>
        </w:numPr>
        <w:pStyle w:val="Compact"/>
      </w:pPr>
      <w:r>
        <w:rPr>
          <w:bCs/>
          <w:b/>
        </w:rPr>
        <w:t xml:space="preserve">Financing Flexibility:</w:t>
      </w:r>
      <w:r>
        <w:t xml:space="preserve"> </w:t>
      </w:r>
      <w:r>
        <w:t xml:space="preserve">Offering 24-month payment plans approved by Banco de Bogotá, making high-end MRI systems accessible to mid-tier clinics previously priced out of the market.</w:t>
      </w:r>
    </w:p>
    <w:p>
      <w:pPr>
        <w:numPr>
          <w:ilvl w:val="0"/>
          <w:numId w:val="1002"/>
        </w:numPr>
        <w:pStyle w:val="Compact"/>
      </w:pPr>
      <w:r>
        <w:rPr>
          <w:bCs/>
          <w:b/>
        </w:rPr>
        <w:t xml:space="preserve">Predictive Maintenance Partnerships:</w:t>
      </w:r>
      <w:r>
        <w:t xml:space="preserve"> </w:t>
      </w:r>
      <w:r>
        <w:t xml:space="preserve">Implementing IoT-enabled equipment monitoring that reduced Radiologists' downtime by 53%, directly addressing a top pain point identified in our client surveys.</w:t>
      </w:r>
    </w:p>
    <w:bookmarkEnd w:id="23"/>
    <w:bookmarkStart w:id="24" w:name="market-challenges-strategic-adaptations"/>
    <w:p>
      <w:pPr>
        <w:pStyle w:val="Heading2"/>
      </w:pPr>
      <w:r>
        <w:t xml:space="preserve">Market Challenges &amp; Strategic Adaptations</w:t>
      </w:r>
    </w:p>
    <w:p>
      <w:pPr>
        <w:pStyle w:val="FirstParagraph"/>
      </w:pPr>
      <w:r>
        <w:t xml:space="preserve">While opportunity abounds, Colombia Bogotá presents unique sales hurdles:</w:t>
      </w:r>
    </w:p>
    <w:p>
      <w:pPr>
        <w:numPr>
          <w:ilvl w:val="0"/>
          <w:numId w:val="1003"/>
        </w:numPr>
        <w:pStyle w:val="Compact"/>
      </w:pPr>
      <w:r>
        <w:rPr>
          <w:bCs/>
          <w:b/>
        </w:rPr>
        <w:t xml:space="preserve">Regulatory Complexity:</w:t>
      </w:r>
      <w:r>
        <w:t xml:space="preserve"> </w:t>
      </w:r>
      <w:r>
        <w:t xml:space="preserve">ANMAT's evolving requirements for AI-based diagnostic tools necessitated custom compliance packages. We established a dedicated Bogotá regulatory team that cut approval times from 180 to 42 days.</w:t>
      </w:r>
    </w:p>
    <w:p>
      <w:pPr>
        <w:numPr>
          <w:ilvl w:val="0"/>
          <w:numId w:val="1003"/>
        </w:numPr>
        <w:pStyle w:val="Compact"/>
      </w:pPr>
      <w:r>
        <w:rPr>
          <w:bCs/>
          <w:b/>
        </w:rPr>
        <w:t xml:space="preserve">Economic Volatility:</w:t>
      </w:r>
      <w:r>
        <w:t xml:space="preserve"> </w:t>
      </w:r>
      <w:r>
        <w:t xml:space="preserve">Currency fluctuations impacted import costs. Our solution: local assembly partnerships (e.g., with Medtronic Colombia) reduced price volatility by 31% for Radiologist clients.</w:t>
      </w:r>
    </w:p>
    <w:p>
      <w:pPr>
        <w:numPr>
          <w:ilvl w:val="0"/>
          <w:numId w:val="1003"/>
        </w:numPr>
        <w:pStyle w:val="Compact"/>
      </w:pPr>
      <w:r>
        <w:rPr>
          <w:bCs/>
          <w:b/>
        </w:rPr>
        <w:t xml:space="preserve">Digital Literacy Gaps:</w:t>
      </w:r>
      <w:r>
        <w:t xml:space="preserve"> </w:t>
      </w:r>
      <w:r>
        <w:t xml:space="preserve">Only 29% of Bogotá Radiologists reported proficiency in advanced analytics tools. We introduced tiered training—certified mobile apps, on-site technicians, and "Radiologist Champion" networks—that boosted tool utilization by 67%.</w:t>
      </w:r>
    </w:p>
    <w:bookmarkEnd w:id="24"/>
    <w:bookmarkStart w:id="25" w:name="X7853b9af8a2236673c506c0c29d2e4dc6d1fedd"/>
    <w:p>
      <w:pPr>
        <w:pStyle w:val="Heading2"/>
      </w:pPr>
      <w:r>
        <w:t xml:space="preserve">Competitive Differentiation in Colombia Bogotá</w:t>
      </w:r>
    </w:p>
    <w:p>
      <w:pPr>
        <w:pStyle w:val="FirstParagraph"/>
      </w:pPr>
      <w:r>
        <w:t xml:space="preserve">Our Sales Report highlights how we outperformed global competitors (Siemens Healthineers, GE Healthcare) through hyper-localized strategies:</w:t>
      </w:r>
    </w:p>
    <w:p>
      <w:pPr>
        <w:pStyle w:val="BodyText"/>
      </w:pPr>
      <w:r>
        <w:rPr>
          <w:bCs/>
          <w:b/>
        </w:rPr>
        <w:t xml:space="preserve">Localized Value Propositions:</w:t>
      </w:r>
      <w:r>
        <w:t xml:space="preserve"> </w:t>
      </w:r>
      <w:r>
        <w:t xml:space="preserve">Unlike competitors' standardized offerings, our Bogotá team designed solutions for common local challenges—such as integrating with Colombia's national health insurance system (EPS) and accommodating Spanish-language AI diagnostic reports. This customization led to a 41% higher client retention rate versus regional benchmarks.</w:t>
      </w:r>
    </w:p>
    <w:p>
      <w:pPr>
        <w:pStyle w:val="BodyText"/>
      </w:pPr>
      <w:r>
        <w:rPr>
          <w:bCs/>
          <w:b/>
        </w:rPr>
        <w:t xml:space="preserve">Community Engagement:</w:t>
      </w:r>
      <w:r>
        <w:t xml:space="preserve"> </w:t>
      </w:r>
      <w:r>
        <w:t xml:space="preserve">Sponsoring the "Bogotá Radiology Summit" (attended by 287 Radiologists) positioned us as thought leaders, generating 153 qualified leads in Q3 alone. We also donated portable ultrasound devices to public hospitals through a CSR initiative, enhancing brand trust within the radiologist community.</w:t>
      </w:r>
    </w:p>
    <w:bookmarkEnd w:id="25"/>
    <w:bookmarkStart w:id="26" w:name="future-strategic-outlook"/>
    <w:p>
      <w:pPr>
        <w:pStyle w:val="Heading2"/>
      </w:pPr>
      <w:r>
        <w:t xml:space="preserve">Future Strategic Outlook</w:t>
      </w:r>
    </w:p>
    <w:p>
      <w:pPr>
        <w:pStyle w:val="FirstParagraph"/>
      </w:pPr>
      <w:r>
        <w:t xml:space="preserve">Based on current momentum, our Sales Report projects:</w:t>
      </w:r>
    </w:p>
    <w:p>
      <w:pPr>
        <w:numPr>
          <w:ilvl w:val="0"/>
          <w:numId w:val="1004"/>
        </w:numPr>
        <w:pStyle w:val="Compact"/>
      </w:pPr>
      <w:r>
        <w:rPr>
          <w:bCs/>
          <w:b/>
        </w:rPr>
        <w:t xml:space="preserve">2024 Growth Targets:</w:t>
      </w:r>
      <w:r>
        <w:t xml:space="preserve"> </w:t>
      </w:r>
      <w:r>
        <w:t xml:space="preserve">35% revenue increase through expansion into oncology imaging and tele-radiology services for rural Colombian clinics connected to Bogotá hubs.</w:t>
      </w:r>
    </w:p>
    <w:p>
      <w:pPr>
        <w:numPr>
          <w:ilvl w:val="0"/>
          <w:numId w:val="1004"/>
        </w:numPr>
        <w:pStyle w:val="Compact"/>
      </w:pPr>
      <w:r>
        <w:rPr>
          <w:bCs/>
          <w:b/>
        </w:rPr>
        <w:t xml:space="preserve">Radiologist-Centric Innovation:</w:t>
      </w:r>
      <w:r>
        <w:t xml:space="preserve"> </w:t>
      </w:r>
      <w:r>
        <w:t xml:space="preserve">Co-developing AI tools with Bogotá Radiologists to detect prevalent local conditions (e.g., dengue hemorrhagic fever complications) using regional patient data.</w:t>
      </w:r>
    </w:p>
    <w:p>
      <w:pPr>
        <w:numPr>
          <w:ilvl w:val="0"/>
          <w:numId w:val="1004"/>
        </w:numPr>
        <w:pStyle w:val="Compact"/>
      </w:pPr>
      <w:r>
        <w:rPr>
          <w:bCs/>
          <w:b/>
        </w:rPr>
        <w:t xml:space="preserve">Market Expansion:</w:t>
      </w:r>
      <w:r>
        <w:t xml:space="preserve"> </w:t>
      </w:r>
      <w:r>
        <w:t xml:space="preserve">Targeting secondary cities (Medellín, Cali) via Bogotá's Radiologist network as our primary growth engine.</w:t>
      </w:r>
    </w:p>
    <w:bookmarkEnd w:id="26"/>
    <w:bookmarkStart w:id="27" w:name="X76900f33de71d25089a3fe405f98ca9364855a9"/>
    <w:p>
      <w:pPr>
        <w:pStyle w:val="Heading2"/>
      </w:pPr>
      <w:r>
        <w:t xml:space="preserve">Conclusion: The Radiologist Partnership Imperative</w:t>
      </w:r>
    </w:p>
    <w:p>
      <w:pPr>
        <w:pStyle w:val="FirstParagraph"/>
      </w:pPr>
      <w:r>
        <w:t xml:space="preserve">The Colombia Bogotá market confirms that success hinges on treating the Radiologist not as a client but as a strategic partner. Our Sales Report underscores that when solutions are co-created with local radiologists—addressing infrastructure realities, regulatory nuances, and clinical priorities—the path to sustainable growth becomes clear. As Bogotá's healthcare landscape evolves through digital transformation, the Radiologist will remain the critical nexus for innovation. By embedding ourselves within Colombia Bogotá's medical community through trusted Radiologist relationships, we are not just selling technology; we are enabling better diagnostic outcomes across 14 million Colombians. The future of radiology sales in this dynamic market belongs to those who listen first, partner closely, and adapt relentlessly to the unique needs of Colombia Bogotá's Radiologists.</w:t>
      </w:r>
    </w:p>
    <w:p>
      <w:pPr>
        <w:pStyle w:val="BodyText"/>
      </w:pPr>
      <w:r>
        <w:rPr>
          <w:iCs/>
          <w:i/>
        </w:rPr>
        <w:t xml:space="preserve">Prepared by Global Healthcare Solutions | Bogotá Market Intelligence Unit |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Sales Report: Colombia Bogotá Market Analysis</dc:title>
  <dc:creator/>
  <dc:language>en</dc:language>
  <cp:keywords/>
  <dcterms:created xsi:type="dcterms:W3CDTF">2026-07-21T08:33:43Z</dcterms:created>
  <dcterms:modified xsi:type="dcterms:W3CDTF">2026-07-21T08:33:43Z</dcterms:modified>
</cp:coreProperties>
</file>

<file path=docProps/custom.xml><?xml version="1.0" encoding="utf-8"?>
<Properties xmlns="http://schemas.openxmlformats.org/officeDocument/2006/custom-properties" xmlns:vt="http://schemas.openxmlformats.org/officeDocument/2006/docPropsVTypes"/>
</file>