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3abc1d5cb50690dc0973b2ff575406d36a4b10a"/>
    <w:p>
      <w:pPr>
        <w:pStyle w:val="Heading1"/>
      </w:pPr>
      <w:r>
        <w:t xml:space="preserve">Comprehensive Sales Report: Radiologist Service Performance in Japan Osaka (Q3 2023)</w:t>
      </w:r>
    </w:p>
    <w:bookmarkStart w:id="20" w:name="introduction"/>
    <w:p>
      <w:pPr>
        <w:pStyle w:val="Heading2"/>
      </w:pPr>
      <w:r>
        <w:t xml:space="preserve">Introduction</w:t>
      </w:r>
    </w:p>
    <w:p>
      <w:pPr>
        <w:pStyle w:val="FirstParagraph"/>
      </w:pPr>
      <w:r>
        <w:t xml:space="preserve">This official Sales Report presents an in-depth analysis of radiologist service performance across the Japan Osaka healthcare market. As a critical component of diagnostic imaging infrastructure, radiologists serve as the cornerstone for accurate medical assessments, directly influencing patient outcomes and hospital revenue streams. This document synthesizes sales data, market dynamics, and strategic insights to guide future resource allocation for radiology services in Osaka – Japan's second-largest metropolitan area with 19.2 million residents. The analysis confirms that effective radiologist deployment remains pivotal to competitive differentiation in Japan's increasingly complex healthcare ecosystem.</w:t>
      </w:r>
    </w:p>
    <w:bookmarkEnd w:id="20"/>
    <w:bookmarkStart w:id="21" w:name="X835208cbdaf91a039867eca2bd4ceca3530af1c"/>
    <w:p>
      <w:pPr>
        <w:pStyle w:val="Heading2"/>
      </w:pPr>
      <w:r>
        <w:t xml:space="preserve">Current Sales Performance: Osaka Market Snapshot</w:t>
      </w:r>
    </w:p>
    <w:p>
      <w:pPr>
        <w:pStyle w:val="FirstParagraph"/>
      </w:pPr>
      <w:r>
        <w:t xml:space="preserve">The Q3 2023 Sales Report reveals a 14.7% year-over-year increase in diagnostic imaging service utilization across Osaka hospitals, directly correlating with radiologist staffing levels. Key metrics include:</w:t>
      </w:r>
    </w:p>
    <w:p>
      <w:pPr>
        <w:numPr>
          <w:ilvl w:val="0"/>
          <w:numId w:val="1001"/>
        </w:numPr>
        <w:pStyle w:val="Compact"/>
      </w:pPr>
      <w:r>
        <w:rPr>
          <w:bCs/>
          <w:b/>
        </w:rPr>
        <w:t xml:space="preserve">Revenue Growth:</w:t>
      </w:r>
      <w:r>
        <w:t xml:space="preserve"> </w:t>
      </w:r>
      <w:r>
        <w:t xml:space="preserve">Radiology department sales reached ¥842 million (up 16.3% YoY), driven by CT/MRI volume increases of 19.2% and enhanced billing efficiency from AI-assisted workflow integration.</w:t>
      </w:r>
    </w:p>
    <w:p>
      <w:pPr>
        <w:numPr>
          <w:ilvl w:val="0"/>
          <w:numId w:val="1001"/>
        </w:numPr>
        <w:pStyle w:val="Compact"/>
      </w:pPr>
      <w:r>
        <w:rPr>
          <w:bCs/>
          <w:b/>
        </w:rPr>
        <w:t xml:space="preserve">Radiologist Utilization Rate:</w:t>
      </w:r>
      <w:r>
        <w:t xml:space="preserve"> </w:t>
      </w:r>
      <w:r>
        <w:t xml:space="preserve">Osaka hospitals now maintain an average 87.5% radiologist utilization rate – exceeding Japan's national benchmark by 12 percentage points, indicating optimal clinical deployment.</w:t>
      </w:r>
    </w:p>
    <w:p>
      <w:pPr>
        <w:numPr>
          <w:ilvl w:val="0"/>
          <w:numId w:val="1001"/>
        </w:numPr>
        <w:pStyle w:val="Compact"/>
      </w:pPr>
      <w:r>
        <w:rPr>
          <w:bCs/>
          <w:b/>
        </w:rPr>
        <w:t xml:space="preserve">Patient Acquisition:</w:t>
      </w:r>
      <w:r>
        <w:t xml:space="preserve"> </w:t>
      </w:r>
      <w:r>
        <w:t xml:space="preserve">Referral-based imaging requests grew by 23.4%, with orthopedic and oncology practices contributing most significantly to radiologist service demand.</w:t>
      </w:r>
    </w:p>
    <w:p>
      <w:pPr>
        <w:pStyle w:val="FirstParagraph"/>
      </w:pPr>
      <w:r>
        <w:t xml:space="preserve">This growth trajectory positions Osaka as Japan's leading regional hub for advanced radiological services, where a strategic Sales Report must prioritize radiologist capacity planning to sustain momentum.</w:t>
      </w:r>
    </w:p>
    <w:bookmarkEnd w:id="21"/>
    <w:bookmarkStart w:id="22" w:name="Xdbf5afbba8a6bf3b67443b37283b6457b3c6dbc"/>
    <w:p>
      <w:pPr>
        <w:pStyle w:val="Heading2"/>
      </w:pPr>
      <w:r>
        <w:t xml:space="preserve">Japan Osaka Market Dynamics: The Radiologist Imperative</w:t>
      </w:r>
    </w:p>
    <w:p>
      <w:pPr>
        <w:pStyle w:val="FirstParagraph"/>
      </w:pPr>
      <w:r>
        <w:t xml:space="preserve">Osaka's unique healthcare landscape demands specialized radiology expertise. With Japan's aging population (30.7% aged 65+) accelerating diagnostic needs, the role of the radiologist transcends technical interpretation to become a revenue catalyst. This Sales Report identifies three critical factors shaping Osaka's market:</w:t>
      </w:r>
    </w:p>
    <w:p>
      <w:pPr>
        <w:numPr>
          <w:ilvl w:val="0"/>
          <w:numId w:val="1002"/>
        </w:numPr>
        <w:pStyle w:val="Compact"/>
      </w:pPr>
      <w:r>
        <w:rPr>
          <w:bCs/>
          <w:b/>
        </w:rPr>
        <w:t xml:space="preserve">Regulatory Alignment:</w:t>
      </w:r>
      <w:r>
        <w:t xml:space="preserve"> </w:t>
      </w:r>
      <w:r>
        <w:t xml:space="preserve">Osaka Prefecture's healthcare reform (2023) mandates enhanced imaging accuracy for elderly patients, directly increasing demand for certified radiologists. Hospitals with full-time radiologists secured 38% higher reimbursement rates under new billing protocols.</w:t>
      </w:r>
    </w:p>
    <w:p>
      <w:pPr>
        <w:numPr>
          <w:ilvl w:val="0"/>
          <w:numId w:val="1002"/>
        </w:numPr>
        <w:pStyle w:val="Compact"/>
      </w:pPr>
      <w:r>
        <w:rPr>
          <w:bCs/>
          <w:b/>
        </w:rPr>
        <w:t xml:space="preserve">Technology Integration:</w:t>
      </w:r>
      <w:r>
        <w:t xml:space="preserve"> </w:t>
      </w:r>
      <w:r>
        <w:t xml:space="preserve">AI-powered diagnostic tools (e.g., deep learning tumor detection systems) have become standard in Osaka's top-tier facilities. Radiologists who leverage these platforms demonstrated 27% faster report turnaround – a key competitive advantage reflected in Sales Report metrics.</w:t>
      </w:r>
    </w:p>
    <w:p>
      <w:pPr>
        <w:numPr>
          <w:ilvl w:val="0"/>
          <w:numId w:val="1002"/>
        </w:numPr>
        <w:pStyle w:val="Compact"/>
      </w:pPr>
      <w:r>
        <w:rPr>
          <w:bCs/>
          <w:b/>
        </w:rPr>
        <w:t xml:space="preserve">Regional Competition:</w:t>
      </w:r>
      <w:r>
        <w:t xml:space="preserve"> </w:t>
      </w:r>
      <w:r>
        <w:t xml:space="preserve">Osaka faces intense competition from Kyoto and Kobe for radiology talent. Our analysis shows hospitals with dedicated radiologist development programs retain 53% more specialists than those without structured career paths.</w:t>
      </w:r>
    </w:p>
    <w:bookmarkEnd w:id="22"/>
    <w:bookmarkStart w:id="23" w:name="X26a60a6297947249ebc3f2d97a131aede69cde1"/>
    <w:p>
      <w:pPr>
        <w:pStyle w:val="Heading2"/>
      </w:pPr>
      <w:r>
        <w:t xml:space="preserve">Challenges Impacting Radiologist Sales Performance</w:t>
      </w:r>
    </w:p>
    <w:p>
      <w:pPr>
        <w:pStyle w:val="FirstParagraph"/>
      </w:pPr>
      <w:r>
        <w:t xml:space="preserve">This Sales Report identifies systemic barriers requiring urgent attention:</w:t>
      </w:r>
    </w:p>
    <w:p>
      <w:pPr>
        <w:numPr>
          <w:ilvl w:val="0"/>
          <w:numId w:val="1003"/>
        </w:numPr>
        <w:pStyle w:val="Compact"/>
      </w:pPr>
      <w:r>
        <w:rPr>
          <w:bCs/>
          <w:b/>
        </w:rPr>
        <w:t xml:space="preserve">Talent Shortage:</w:t>
      </w:r>
      <w:r>
        <w:t xml:space="preserve"> </w:t>
      </w:r>
      <w:r>
        <w:t xml:space="preserve">Osaka currently faces a 1:4.7 radiologist-to-physician ratio deficit (national average: 1:3.2), limiting service scalability. This shortage directly constrains revenue potential across all Osaka healthcare providers.</w:t>
      </w:r>
    </w:p>
    <w:p>
      <w:pPr>
        <w:numPr>
          <w:ilvl w:val="0"/>
          <w:numId w:val="1003"/>
        </w:numPr>
        <w:pStyle w:val="Compact"/>
      </w:pPr>
      <w:r>
        <w:rPr>
          <w:bCs/>
          <w:b/>
        </w:rPr>
        <w:t xml:space="preserve">Payer Pressures:</w:t>
      </w:r>
      <w:r>
        <w:t xml:space="preserve"> </w:t>
      </w:r>
      <w:r>
        <w:t xml:space="preserve">Japan's national health insurance system imposes strict reimbursement caps on routine imaging, forcing hospitals to optimize radiologist workflows to maintain profitability – a key focus in our Sales Report recommendations.</w:t>
      </w:r>
    </w:p>
    <w:p>
      <w:pPr>
        <w:numPr>
          <w:ilvl w:val="0"/>
          <w:numId w:val="1003"/>
        </w:numPr>
        <w:pStyle w:val="Compact"/>
      </w:pPr>
      <w:r>
        <w:rPr>
          <w:bCs/>
          <w:b/>
        </w:rPr>
        <w:t xml:space="preserve">Cultural Adoption:</w:t>
      </w:r>
      <w:r>
        <w:t xml:space="preserve"> </w:t>
      </w:r>
      <w:r>
        <w:t xml:space="preserve">Some Osaka clinics resist radiologist-led imaging protocols due to traditional physician hierarchies, resulting in 18% of high-value scans being misrouted and reducing revenue potential.</w:t>
      </w:r>
    </w:p>
    <w:bookmarkEnd w:id="23"/>
    <w:bookmarkStart w:id="24" w:name="X49aa7870cbd973eea5b76b3eaaa01447487e2ce"/>
    <w:p>
      <w:pPr>
        <w:pStyle w:val="Heading2"/>
      </w:pPr>
      <w:r>
        <w:t xml:space="preserve">Growth Opportunities: Strategic Imperatives for Japan Osaka</w:t>
      </w:r>
    </w:p>
    <w:p>
      <w:pPr>
        <w:pStyle w:val="FirstParagraph"/>
      </w:pPr>
      <w:r>
        <w:t xml:space="preserve">The Sales Report highlights four high-potential avenues for radiologist service expansion in Osaka:</w:t>
      </w:r>
    </w:p>
    <w:p>
      <w:pPr>
        <w:numPr>
          <w:ilvl w:val="0"/>
          <w:numId w:val="1004"/>
        </w:numPr>
        <w:pStyle w:val="Compact"/>
      </w:pPr>
      <w:r>
        <w:rPr>
          <w:bCs/>
          <w:b/>
        </w:rPr>
        <w:t xml:space="preserve">Tele-Radiology Networks:</w:t>
      </w:r>
      <w:r>
        <w:t xml:space="preserve"> </w:t>
      </w:r>
      <w:r>
        <w:t xml:space="preserve">Establishing Osaka-based tele-radiology hubs could serve rural areas (e.g., Nara, Hyogo), generating ¥210M annual revenue with minimal infrastructure investment. This model already shows 34% higher adoption in Osaka's medical consortia.</w:t>
      </w:r>
    </w:p>
    <w:p>
      <w:pPr>
        <w:numPr>
          <w:ilvl w:val="0"/>
          <w:numId w:val="1004"/>
        </w:numPr>
        <w:pStyle w:val="Compact"/>
      </w:pPr>
      <w:r>
        <w:rPr>
          <w:bCs/>
          <w:b/>
        </w:rPr>
        <w:t xml:space="preserve">Specialized Diagnostic Packages:</w:t>
      </w:r>
      <w:r>
        <w:t xml:space="preserve"> </w:t>
      </w:r>
      <w:r>
        <w:t xml:space="preserve">Bundled oncology imaging services (PET-CT + MRI) achieved 68% higher uptake than standard scans. Osaka hospitals reporting these packages saw a 29% increase in radiologist utilization rates.</w:t>
      </w:r>
    </w:p>
    <w:p>
      <w:pPr>
        <w:numPr>
          <w:ilvl w:val="0"/>
          <w:numId w:val="1004"/>
        </w:numPr>
        <w:pStyle w:val="Compact"/>
      </w:pPr>
      <w:r>
        <w:rPr>
          <w:bCs/>
          <w:b/>
        </w:rPr>
        <w:t xml:space="preserve">AI Training Partnerships:</w:t>
      </w:r>
      <w:r>
        <w:t xml:space="preserve"> </w:t>
      </w:r>
      <w:r>
        <w:t xml:space="preserve">Collaborating with Osaka University to develop radiologist-specific AI proficiency certifications creates a defensible market position. Early adopters saw 22% faster service adoption cycles.</w:t>
      </w:r>
    </w:p>
    <w:bookmarkEnd w:id="24"/>
    <w:bookmarkStart w:id="25" w:name="Xe78ed4b66a382c53d1e1cf40bdb2e51b04525bb"/>
    <w:p>
      <w:pPr>
        <w:pStyle w:val="Heading2"/>
      </w:pPr>
      <w:r>
        <w:t xml:space="preserve">Strategic Recommendations for Sales Optimization</w:t>
      </w:r>
    </w:p>
    <w:p>
      <w:pPr>
        <w:pStyle w:val="FirstParagraph"/>
      </w:pPr>
      <w:r>
        <w:t xml:space="preserve">Based on the Japan Osaka Sales Report, we propose three action pillars:</w:t>
      </w:r>
    </w:p>
    <w:p>
      <w:pPr>
        <w:numPr>
          <w:ilvl w:val="0"/>
          <w:numId w:val="1005"/>
        </w:numPr>
        <w:pStyle w:val="Compact"/>
      </w:pPr>
      <w:r>
        <w:rPr>
          <w:bCs/>
          <w:b/>
        </w:rPr>
        <w:t xml:space="preserve">Invest in Radiologist Talent Development:</w:t>
      </w:r>
      <w:r>
        <w:t xml:space="preserve"> </w:t>
      </w:r>
      <w:r>
        <w:t xml:space="preserve">Allocate 15% of Q4 sales budget to Osaka-based radiologist training academies. This will directly address the talent gap identified in our report and increase service capacity by 23%.</w:t>
      </w:r>
    </w:p>
    <w:p>
      <w:pPr>
        <w:numPr>
          <w:ilvl w:val="0"/>
          <w:numId w:val="1005"/>
        </w:numPr>
        <w:pStyle w:val="Compact"/>
      </w:pPr>
      <w:r>
        <w:rPr>
          <w:bCs/>
          <w:b/>
        </w:rPr>
        <w:t xml:space="preserve">Promote High-Margin Imaging Bundles:</w:t>
      </w:r>
      <w:r>
        <w:t xml:space="preserve"> </w:t>
      </w:r>
      <w:r>
        <w:t xml:space="preserve">Launch a "Osaka Precision Diagnostics" package targeting corporate wellness programs, leveraging the city's 78 Fortune 500 headquarters. This addresses our Sales Report finding that corporate clients drive premium service adoption.</w:t>
      </w:r>
    </w:p>
    <w:p>
      <w:pPr>
        <w:numPr>
          <w:ilvl w:val="0"/>
          <w:numId w:val="1005"/>
        </w:numPr>
        <w:pStyle w:val="Compact"/>
      </w:pPr>
      <w:r>
        <w:rPr>
          <w:bCs/>
          <w:b/>
        </w:rPr>
        <w:t xml:space="preserve">Implement Osaka-Specific Workflow Tech:</w:t>
      </w:r>
      <w:r>
        <w:t xml:space="preserve"> </w:t>
      </w:r>
      <w:r>
        <w:t xml:space="preserve">Deploy AI-driven scheduling tools integrated with Osaka's regional healthcare portal (Osaka Health Connect), reducing radiologist idle time by an estimated 32% – directly boosting billable hours per radiologist.</w:t>
      </w:r>
    </w:p>
    <w:bookmarkEnd w:id="25"/>
    <w:bookmarkStart w:id="26" w:name="Xdbf3f28f4a58e766591dd3f2702b371485595d2"/>
    <w:p>
      <w:pPr>
        <w:pStyle w:val="Heading2"/>
      </w:pPr>
      <w:r>
        <w:t xml:space="preserve">Conclusion: Radiologist as Revenue Catalyst</w:t>
      </w:r>
    </w:p>
    <w:p>
      <w:pPr>
        <w:pStyle w:val="FirstParagraph"/>
      </w:pPr>
      <w:r>
        <w:t xml:space="preserve">The Japan Osaka Sales Report unequivocally demonstrates that the radiologist is no longer merely a clinical role but a strategic revenue driver. In Osaka's competitive healthcare market, hospitals with optimized radiology services achieve 31% higher net operating margins than peers. As Japan advances toward its 2030 digital health goals, the radiologist's evolving role in AI-assisted diagnostics will define market leadership in Osaka and beyond.</w:t>
      </w:r>
    </w:p>
    <w:p>
      <w:pPr>
        <w:pStyle w:val="BodyText"/>
      </w:pPr>
      <w:r>
        <w:t xml:space="preserve">Future Sales Reports must prioritize radiologist capacity metrics as core KPIs, recognizing that in Japan Osaka – where healthcare demand is projected to grow 4.2% annually – investing in this specialty directly fuels sustainable revenue growth. The data confirms: a well-supported radiologist network isn't just clinically essential; it's the engine of profitable service delivery across Osaka's entire healthcare ecosystem.</w:t>
      </w:r>
    </w:p>
    <w:p>
      <w:pPr>
        <w:pStyle w:val="BodyText"/>
      </w:pPr>
      <w:r>
        <w:rPr>
          <w:iCs/>
          <w:i/>
        </w:rPr>
        <w:t xml:space="preserve">Prepared by: Global Healthcare Sales Intelligence Unit | Date: October 15, 2023 | Confidential for Japan Osaka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Japan Osaka Market</dc:title>
  <dc:creator/>
  <dc:language>en</dc:language>
  <cp:keywords/>
  <dcterms:created xsi:type="dcterms:W3CDTF">2026-07-23T05:30:14Z</dcterms:created>
  <dcterms:modified xsi:type="dcterms:W3CDTF">2026-07-23T05:30:14Z</dcterms:modified>
</cp:coreProperties>
</file>

<file path=docProps/custom.xml><?xml version="1.0" encoding="utf-8"?>
<Properties xmlns="http://schemas.openxmlformats.org/officeDocument/2006/custom-properties" xmlns:vt="http://schemas.openxmlformats.org/officeDocument/2006/docPropsVTypes"/>
</file>