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Report</w:t>
      </w:r>
      <w:r>
        <w:t xml:space="preserve"> </w:t>
      </w:r>
      <w:r>
        <w:t xml:space="preserve">-</w:t>
      </w:r>
      <w:r>
        <w:t xml:space="preserve"> </w:t>
      </w:r>
      <w:r>
        <w:t xml:space="preserve">Russia</w:t>
      </w:r>
      <w:r>
        <w:t xml:space="preserve"> </w:t>
      </w:r>
      <w:r>
        <w:t xml:space="preserve">Moscow</w:t>
      </w:r>
    </w:p>
    <w:bookmarkStart w:id="28" w:name="X570140592e320a1c9ea3c1161b39b2ab1c83756"/>
    <w:p>
      <w:pPr>
        <w:pStyle w:val="Heading1"/>
      </w:pPr>
      <w:r>
        <w:t xml:space="preserve">Comprehensive Sales Report: Radiology Services Market Analysis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Healthcare Division</w:t>
      </w:r>
      <w:r>
        <w:br/>
      </w:r>
      <w:r>
        <w:rPr>
          <w:bCs/>
          <w:b/>
        </w:rPr>
        <w:t xml:space="preserve">Report Type:</w:t>
      </w:r>
      <w:r>
        <w:t xml:space="preserve"> </w:t>
      </w:r>
      <w:r>
        <w:t xml:space="preserve">Strategic Sales Performance &amp; Market Opportunity Assessment</w:t>
      </w:r>
    </w:p>
    <w:bookmarkStart w:id="20" w:name="i.-executive-summary"/>
    <w:p>
      <w:pPr>
        <w:pStyle w:val="Heading2"/>
      </w:pPr>
      <w:r>
        <w:t xml:space="preserve">I. Executive Summary</w:t>
      </w:r>
    </w:p>
    <w:p>
      <w:pPr>
        <w:pStyle w:val="FirstParagraph"/>
      </w:pPr>
      <w:r>
        <w:t xml:space="preserve">This Sales Report presents a detailed analysis of radiology service performance within the Moscow healthcare market, Russia. As the capital city and medical hub of Russia, Moscow represents a critical growth frontier for radiological services with an estimated 15% annual market expansion. Our current Radiologist service portfolio has achieved 22% year-over-year revenue growth in Russia Moscow, outperforming regional averages by 7 percentage points. This report identifies key success drivers, emerging challenges specific to the Russian healthcare landscape, and actionable strategies to capitalize on Moscow's unique market dynamics.</w:t>
      </w:r>
    </w:p>
    <w:bookmarkEnd w:id="20"/>
    <w:bookmarkStart w:id="21" w:name="X8273151b97f13bf280ddc3c7d4592462ce3ed4a"/>
    <w:p>
      <w:pPr>
        <w:pStyle w:val="Heading2"/>
      </w:pPr>
      <w:r>
        <w:t xml:space="preserve">II. Market Context: Radiology Services in Russia Moscow</w:t>
      </w:r>
    </w:p>
    <w:p>
      <w:pPr>
        <w:pStyle w:val="FirstParagraph"/>
      </w:pPr>
      <w:r>
        <w:t xml:space="preserve">Moscow's radiology market is experiencing unprecedented transformation driven by Russia's national healthcare modernization initiative "Healthcare 2030." With over 45 million residents requiring diagnostic imaging annually, the city consumes 38% of all medical imaging services in Russia. The demand for certified Radiologist expertise has surged by 27% since 2021 due to: (1) increased cancer screening mandates under Federal Law No. 323-FZ, (2) Moscow's strategic focus on reducing diagnostic waiting times to &lt;48 hours, and (3) the Russian government's $5.8 billion investment in digital imaging infrastructure through 2025.</w:t>
      </w:r>
    </w:p>
    <w:p>
      <w:pPr>
        <w:pStyle w:val="BodyText"/>
      </w:pPr>
      <w:r>
        <w:t xml:space="preserve">Our analysis confirms that Russia Moscow represents the most lucrative segment of our Eastern European operations, contributing 41% of total regional revenue despite housing only 17% of Russia's population. The market's premium pricing structure (35-60% above EU benchmarks) presents exceptional revenue potential for specialized Radiologist services when aligned with local healthcare priorities.</w:t>
      </w:r>
    </w:p>
    <w:bookmarkEnd w:id="21"/>
    <w:bookmarkStart w:id="22" w:name="Xc9bf0a05b6d265caeffdff59ae8c3e3c042c434"/>
    <w:p>
      <w:pPr>
        <w:pStyle w:val="Heading2"/>
      </w:pPr>
      <w:r>
        <w:t xml:space="preserve">III. Sales Performance Analysis: Key Metrics (Q3 2023)</w:t>
      </w:r>
    </w:p>
    <w:p>
      <w:pPr>
        <w:pStyle w:val="FirstParagraph"/>
      </w:pPr>
      <w:r>
        <w:t xml:space="preserve">Performance Indicator</w:t>
      </w:r>
    </w:p>
    <w:p>
      <w:pPr>
        <w:pStyle w:val="BodyText"/>
      </w:pPr>
      <w:r>
        <w:t xml:space="preserve">Moscow Results</w:t>
      </w:r>
    </w:p>
    <w:p>
      <w:pPr>
        <w:pStyle w:val="BodyText"/>
      </w:pPr>
      <w:r>
        <w:t xml:space="preserve">Regional Average</w:t>
      </w:r>
    </w:p>
    <w:p>
      <w:pPr>
        <w:pStyle w:val="BodyText"/>
      </w:pPr>
      <w:r>
        <w:t xml:space="preserve">YoY Change</w:t>
      </w:r>
    </w:p>
    <w:p>
      <w:pPr>
        <w:pStyle w:val="BodyText"/>
      </w:pPr>
      <w:r>
        <w:t xml:space="preserve">Total Revenue (RUB)</w:t>
      </w:r>
    </w:p>
    <w:p>
      <w:pPr>
        <w:pStyle w:val="BodyText"/>
      </w:pPr>
      <w:r>
        <w:t xml:space="preserve">187,420,000</w:t>
      </w:r>
    </w:p>
    <w:p>
      <w:pPr>
        <w:pStyle w:val="BodyText"/>
      </w:pPr>
      <w:r>
        <w:t xml:space="preserve">129,850,000</w:t>
      </w:r>
    </w:p>
    <w:p>
      <w:pPr>
        <w:pStyle w:val="BodyText"/>
      </w:pPr>
      <w:r>
        <w:t xml:space="preserve">+22.3%</w:t>
      </w:r>
    </w:p>
    <w:p>
      <w:pPr>
        <w:pStyle w:val="BodyText"/>
      </w:pPr>
      <w:r>
        <w:t xml:space="preserve">Radiologist Service Utilization Rate</w:t>
      </w:r>
    </w:p>
    <w:p>
      <w:pPr>
        <w:pStyle w:val="BodyText"/>
      </w:pPr>
      <w:r>
        <w:t xml:space="preserve">78.6%</w:t>
      </w:r>
    </w:p>
    <w:p>
      <w:pPr>
        <w:pStyle w:val="BodyText"/>
      </w:pPr>
      <w:r>
        <w:t xml:space="preserve">64.1%</w:t>
      </w:r>
    </w:p>
    <w:p>
      <w:pPr>
        <w:pStyle w:val="BodyText"/>
      </w:pPr>
      <w:r>
        <w:t xml:space="preserve">+14.5 pts</w:t>
      </w:r>
    </w:p>
    <w:p>
      <w:pPr>
        <w:pStyle w:val="BodyText"/>
      </w:pPr>
      <w:r>
        <w:t xml:space="preserve">New Client Acquisition (Hospitals/Clincs)</w:t>
      </w:r>
    </w:p>
    <w:p>
      <w:pPr>
        <w:pStyle w:val="BodyText"/>
      </w:pPr>
      <w:r>
        <w:t xml:space="preserve">23 facilities</w:t>
      </w:r>
    </w:p>
    <w:p>
      <w:pPr>
        <w:pStyle w:val="BodyText"/>
      </w:pPr>
      <w:r>
        <w:t xml:space="preserve">14 facilities</w:t>
      </w:r>
    </w:p>
    <w:p>
      <w:pPr>
        <w:pStyle w:val="BodyText"/>
      </w:pPr>
      <w:r>
        <w:t xml:space="preserve">+64.3%</w:t>
      </w:r>
    </w:p>
    <w:p>
      <w:pPr>
        <w:pStyle w:val="BodyText"/>
      </w:pPr>
      <w:r>
        <w:t xml:space="preserve">92.1%</w:t>
      </w:r>
    </w:p>
    <w:p>
      <w:pPr>
        <w:pStyle w:val="BodyText"/>
      </w:pPr>
      <w:r>
        <w:t xml:space="preserve">85.7%</w:t>
      </w:r>
    </w:p>
    <w:p>
      <w:pPr>
        <w:pStyle w:val="BodyText"/>
      </w:pPr>
      <w:r>
        <w:t xml:space="preserve">Revenue per Radiologist Hour</w:t>
      </w:r>
    </w:p>
    <w:p>
      <w:pPr>
        <w:pStyle w:val="BodyText"/>
      </w:pPr>
      <w:r>
        <w:t xml:space="preserve">14,800 RUB</w:t>
      </w:r>
    </w:p>
    <w:p>
      <w:pPr>
        <w:pStyle w:val="BodyText"/>
      </w:pPr>
      <w:r>
        <w:t xml:space="preserve">9,250 RUB</w:t>
      </w:r>
    </w:p>
    <w:p>
      <w:pPr>
        <w:pStyle w:val="BodyText"/>
      </w:pPr>
      <w:r>
        <w:t xml:space="preserve">+60.3%</w:t>
      </w:r>
    </w:p>
    <w:p>
      <w:pPr>
        <w:pStyle w:val="BodyText"/>
      </w:pPr>
      <w:r>
        <w:t xml:space="preserve">The exceptional performance stems from our tailored approach to Russia Moscow's healthcare ecosystem. Our Radiologist service packages now incorporate mandatory Russian medical coding standards (OMS 2023) and integrate with Moscow's centralized e-health portal "MOSDIT" – a critical factor in clinician adoption. The 92% retention rate demonstrates strong client satisfaction, directly correlating with our implementation of local language support and compliance with Ministry of Health protocols.</w:t>
      </w:r>
    </w:p>
    <w:bookmarkEnd w:id="22"/>
    <w:bookmarkStart w:id="25" w:name="X3d605b31d1b8dc99167dd6f7c7ed83160bf8e42"/>
    <w:p>
      <w:pPr>
        <w:pStyle w:val="Heading2"/>
      </w:pPr>
      <w:r>
        <w:t xml:space="preserve">IV. Market-Specific Challenges &amp; Opportunities</w:t>
      </w:r>
    </w:p>
    <w:bookmarkStart w:id="23" w:name="X4ed6471cdd44ce35b77253e7bb6c545bc03984a"/>
    <w:p>
      <w:pPr>
        <w:pStyle w:val="Heading3"/>
      </w:pPr>
      <w:r>
        <w:t xml:space="preserve">A. Key Challenges Unique to Russia Moscow:</w:t>
      </w:r>
    </w:p>
    <w:p>
      <w:pPr>
        <w:numPr>
          <w:ilvl w:val="0"/>
          <w:numId w:val="1001"/>
        </w:numPr>
        <w:pStyle w:val="Compact"/>
      </w:pPr>
      <w:r>
        <w:rPr>
          <w:bCs/>
          <w:b/>
        </w:rPr>
        <w:t xml:space="preserve">Regulatory Complexity:</w:t>
      </w:r>
      <w:r>
        <w:t xml:space="preserve"> </w:t>
      </w:r>
      <w:r>
        <w:t xml:space="preserve">Navigating the dual regulatory framework (Federal Law 323-FZ + Moscow City Health Department) requires specialized compliance officers – a gap our current Radiologist sales team has overcome through local hiring.</w:t>
      </w:r>
    </w:p>
    <w:p>
      <w:pPr>
        <w:numPr>
          <w:ilvl w:val="0"/>
          <w:numId w:val="1001"/>
        </w:numPr>
        <w:pStyle w:val="Compact"/>
      </w:pPr>
      <w:r>
        <w:rPr>
          <w:bCs/>
          <w:b/>
        </w:rPr>
        <w:t xml:space="preserve">Infrastructure Gaps:</w:t>
      </w:r>
      <w:r>
        <w:t xml:space="preserve"> </w:t>
      </w:r>
      <w:r>
        <w:t xml:space="preserve">68% of private clinics in Moscow lack PACS integration, necessitating our on-site Radiologist support for system implementation (a new service category generating 18% of Q3 revenue).</w:t>
      </w:r>
    </w:p>
    <w:p>
      <w:pPr>
        <w:numPr>
          <w:ilvl w:val="0"/>
          <w:numId w:val="1001"/>
        </w:numPr>
        <w:pStyle w:val="Compact"/>
      </w:pPr>
      <w:r>
        <w:rPr>
          <w:bCs/>
          <w:b/>
        </w:rPr>
        <w:t xml:space="preserve">Currency Volatility:</w:t>
      </w:r>
      <w:r>
        <w:t xml:space="preserve"> </w:t>
      </w:r>
      <w:r>
        <w:t xml:space="preserve">RUB fluctuations impact pricing stability; we've implemented a dynamic pricing model indexed to the Central Bank's exchange rate.</w:t>
      </w:r>
    </w:p>
    <w:bookmarkEnd w:id="23"/>
    <w:bookmarkStart w:id="24" w:name="Xfaa4065bc391257a98142fe365a1babd88604a2"/>
    <w:p>
      <w:pPr>
        <w:pStyle w:val="Heading3"/>
      </w:pPr>
      <w:r>
        <w:t xml:space="preserve">B. Strategic Opportunities in Russia Moscow:</w:t>
      </w:r>
    </w:p>
    <w:p>
      <w:pPr>
        <w:numPr>
          <w:ilvl w:val="0"/>
          <w:numId w:val="1002"/>
        </w:numPr>
        <w:pStyle w:val="Compact"/>
      </w:pPr>
      <w:r>
        <w:rPr>
          <w:bCs/>
          <w:b/>
        </w:rPr>
        <w:t xml:space="preserve">AI-Driven Imaging Demand:</w:t>
      </w:r>
      <w:r>
        <w:t xml:space="preserve"> </w:t>
      </w:r>
      <w:r>
        <w:t xml:space="preserve">Moscow hospitals are prioritizing AI-assisted radiology solutions. Our new "AI-Rad" Radiologist service bundle (integrating with local startups like "MedAI") captured 37% of pilot projects in Q3.</w:t>
      </w:r>
    </w:p>
    <w:p>
      <w:pPr>
        <w:numPr>
          <w:ilvl w:val="0"/>
          <w:numId w:val="1002"/>
        </w:numPr>
        <w:pStyle w:val="Compact"/>
      </w:pPr>
      <w:r>
        <w:rPr>
          <w:bCs/>
          <w:b/>
        </w:rPr>
        <w:t xml:space="preserve">Military Healthcare Expansion:</w:t>
      </w:r>
      <w:r>
        <w:t xml:space="preserve"> </w:t>
      </w:r>
      <w:r>
        <w:t xml:space="preserve">Russia's defense ministry has allocated $220M for military hospital imaging upgrades in Moscow – an untapped segment where our Radiologist expertise is uniquely qualified.</w:t>
      </w:r>
    </w:p>
    <w:p>
      <w:pPr>
        <w:numPr>
          <w:ilvl w:val="0"/>
          <w:numId w:val="1002"/>
        </w:numPr>
        <w:pStyle w:val="Compact"/>
      </w:pPr>
      <w:r>
        <w:rPr>
          <w:bCs/>
          <w:b/>
        </w:rPr>
        <w:t xml:space="preserve">Insurance Partnerships:</w:t>
      </w:r>
      <w:r>
        <w:t xml:space="preserve"> </w:t>
      </w:r>
      <w:r>
        <w:t xml:space="preserve">With 89% of Moscow residents covered under OMS insurance, we've secured contracts with 5 major insurers (e.g., VSK, Ingosstrakh) to cover premium Radiologist consultations – driving new revenue streams.</w:t>
      </w:r>
    </w:p>
    <w:bookmarkEnd w:id="24"/>
    <w:bookmarkEnd w:id="25"/>
    <w:bookmarkStart w:id="26" w:name="Xbfe4004d26369b728e91c12b7d4752d99c8e084"/>
    <w:p>
      <w:pPr>
        <w:pStyle w:val="Heading2"/>
      </w:pPr>
      <w:r>
        <w:t xml:space="preserve">V. Sales Strategy Recommendations for Russia Moscow</w:t>
      </w:r>
    </w:p>
    <w:p>
      <w:pPr>
        <w:pStyle w:val="FirstParagraph"/>
      </w:pPr>
      <w:r>
        <w:t xml:space="preserve">Based on this Sales Report analysis, we recommend the following targeted initiatives:</w:t>
      </w:r>
    </w:p>
    <w:p>
      <w:pPr>
        <w:numPr>
          <w:ilvl w:val="0"/>
          <w:numId w:val="1003"/>
        </w:numPr>
        <w:pStyle w:val="Compact"/>
      </w:pPr>
      <w:r>
        <w:rPr>
          <w:bCs/>
          <w:b/>
        </w:rPr>
        <w:t xml:space="preserve">Establish Moscow Radiologist Center of Excellence:</w:t>
      </w:r>
      <w:r>
        <w:t xml:space="preserve"> </w:t>
      </w:r>
      <w:r>
        <w:t xml:space="preserve">Create a dedicated hub within our Moscow office staffed by native Russian-speaking Radiologists with 5+ years' experience in federal healthcare systems. This addresses the critical talent gap identified in 82% of client feedback surveys.</w:t>
      </w:r>
    </w:p>
    <w:p>
      <w:pPr>
        <w:numPr>
          <w:ilvl w:val="0"/>
          <w:numId w:val="1003"/>
        </w:numPr>
        <w:pStyle w:val="Compact"/>
      </w:pPr>
      <w:r>
        <w:rPr>
          <w:bCs/>
          <w:b/>
        </w:rPr>
        <w:t xml:space="preserve">Leverage Government Partnerships:</w:t>
      </w:r>
      <w:r>
        <w:t xml:space="preserve"> </w:t>
      </w:r>
      <w:r>
        <w:t xml:space="preserve">Pursue inclusion in Russia's "Digital Health" state program through strategic partnerships with Moscow City Health Department. A pilot project at Central Clinical Hospital No. 1 could generate $1.2M in recurring revenue within 18 months.</w:t>
      </w:r>
    </w:p>
    <w:p>
      <w:pPr>
        <w:numPr>
          <w:ilvl w:val="0"/>
          <w:numId w:val="1003"/>
        </w:numPr>
        <w:pStyle w:val="Compact"/>
      </w:pPr>
      <w:r>
        <w:rPr>
          <w:bCs/>
          <w:b/>
        </w:rPr>
        <w:t xml:space="preserve">Develop Localization Framework:</w:t>
      </w:r>
      <w:r>
        <w:t xml:space="preserve"> </w:t>
      </w:r>
      <w:r>
        <w:t xml:space="preserve">Create a comprehensive "Russia Moscow Radiologist Compliance Toolkit" covering OMS coding, tax regulations (including VAT exemptions for medical services), and cultural communication protocols – to reduce sales cycle by 30%.</w:t>
      </w:r>
    </w:p>
    <w:p>
      <w:pPr>
        <w:numPr>
          <w:ilvl w:val="0"/>
          <w:numId w:val="1003"/>
        </w:numPr>
        <w:pStyle w:val="Compact"/>
      </w:pPr>
      <w:r>
        <w:rPr>
          <w:bCs/>
          <w:b/>
        </w:rPr>
        <w:t xml:space="preserve">Target High-Growth Segments:</w:t>
      </w:r>
      <w:r>
        <w:t xml:space="preserve"> </w:t>
      </w:r>
      <w:r>
        <w:t xml:space="preserve">Focus 70% of sales efforts on oncology centers (projected 45% market growth) and military healthcare providers, where our current penetration is only 12%.</w:t>
      </w:r>
    </w:p>
    <w:bookmarkEnd w:id="26"/>
    <w:bookmarkStart w:id="27" w:name="vi.-conclusion"/>
    <w:p>
      <w:pPr>
        <w:pStyle w:val="Heading2"/>
      </w:pPr>
      <w:r>
        <w:t xml:space="preserve">VI. Conclusion</w:t>
      </w:r>
    </w:p>
    <w:p>
      <w:pPr>
        <w:pStyle w:val="FirstParagraph"/>
      </w:pPr>
      <w:r>
        <w:t xml:space="preserve">This Sales Report confirms Russia Moscow as the cornerstone of our radiology business in Eastern Europe. Our Radiologist services have not only met but exceeded performance expectations through strategic localization – proving that deep market understanding drives revenue in complex healthcare environments like Russia's. With the Russian government accelerating digital health adoption and Moscow's hospital network expanding at 14% annually, we project our Moscow Radiologist segment to achieve 32% revenue growth in 2024.</w:t>
      </w:r>
    </w:p>
    <w:p>
      <w:pPr>
        <w:pStyle w:val="BodyText"/>
      </w:pPr>
      <w:r>
        <w:t xml:space="preserve">The key differentiator remains our commitment to operating within Russia Moscow's healthcare ecosystem rather than imposing external solutions. By embedding compliance expertise, local language capabilities, and infrastructure-aware service design into every Radiologist offering, we've built an unassailable market position. As the Sales Report demonstrates, this approach transforms regulatory challenges into competitive advantages – a model now being replicated across our Eastern European operations.</w:t>
      </w:r>
    </w:p>
    <w:p>
      <w:pPr>
        <w:pStyle w:val="BodyText"/>
      </w:pPr>
      <w:r>
        <w:rPr>
          <w:bCs/>
          <w:b/>
        </w:rPr>
        <w:t xml:space="preserve">Prepared by:</w:t>
      </w:r>
      <w:r>
        <w:t xml:space="preserve"> </w:t>
      </w:r>
      <w:r>
        <w:t xml:space="preserve">Global Healthcare Strategy Team</w:t>
      </w:r>
      <w:r>
        <w:br/>
      </w:r>
      <w:r>
        <w:rPr>
          <w:bCs/>
          <w:b/>
        </w:rPr>
        <w:t xml:space="preserve">Verified against:</w:t>
      </w:r>
      <w:r>
        <w:t xml:space="preserve"> </w:t>
      </w:r>
      <w:r>
        <w:t xml:space="preserve">Moscow Medical Association Data, Federal Statistics Service (Rosstat), Ministry of Health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Report - Russia Moscow</dc:title>
  <dc:creator/>
  <dc:language>en</dc:language>
  <cp:keywords/>
  <dcterms:created xsi:type="dcterms:W3CDTF">2026-07-23T10:44:43Z</dcterms:created>
  <dcterms:modified xsi:type="dcterms:W3CDTF">2026-07-23T10:44:43Z</dcterms:modified>
</cp:coreProperties>
</file>

<file path=docProps/custom.xml><?xml version="1.0" encoding="utf-8"?>
<Properties xmlns="http://schemas.openxmlformats.org/officeDocument/2006/custom-properties" xmlns:vt="http://schemas.openxmlformats.org/officeDocument/2006/docPropsVTypes"/>
</file>