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sales-report"/>
    <w:p>
      <w:pPr>
        <w:pStyle w:val="Heading1"/>
      </w:pPr>
      <w:r>
        <w:t xml:space="preserve">SALES REPORT</w:t>
      </w:r>
    </w:p>
    <w:bookmarkStart w:id="27" w:name="X7218a50db1cdfec87383d6234259ab02b64816f"/>
    <w:p>
      <w:pPr>
        <w:pStyle w:val="Heading2"/>
      </w:pPr>
      <w:r>
        <w:t xml:space="preserve">Radiology Services Market Analysis &amp; Performance in South Korea Seoul</w:t>
      </w:r>
    </w:p>
    <w:p>
      <w:pPr>
        <w:pStyle w:val="FirstParagraph"/>
      </w:pPr>
      <w:r>
        <w:t xml:space="preserve">Prepared for Executive Leadership | Q3 2024 | Confidential</w:t>
      </w:r>
    </w:p>
    <w:bookmarkStart w:id="20" w:name="executive-summary"/>
    <w:p>
      <w:pPr>
        <w:pStyle w:val="Heading3"/>
      </w:pPr>
      <w:r>
        <w:t xml:space="preserve">Executive Summary</w:t>
      </w:r>
    </w:p>
    <w:p>
      <w:pPr>
        <w:pStyle w:val="FirstParagraph"/>
      </w:pPr>
      <w:r>
        <w:t xml:space="preserve">This comprehensive Sales Report details the current market dynamics, performance metrics, and strategic opportunities within the radiology services sector specifically serving Seoul, South Korea. As the nation's medical hub housing over 50% of Korea's top-tier hospitals and 8 million residents in metropolitan Seoul alone, this market represents a critical growth frontier for advanced imaging solutions. Our sales team has achieved a 22% year-over-year increase in radiologist partnerships across Seoul, directly contributing to our regional revenue target achievement of 107%. This report confirms that strategic engagement with</w:t>
      </w:r>
      <w:r>
        <w:t xml:space="preserve"> </w:t>
      </w:r>
      <w:r>
        <w:rPr>
          <w:bCs/>
          <w:b/>
        </w:rPr>
        <w:t xml:space="preserve">Radiologist</w:t>
      </w:r>
      <w:r>
        <w:t xml:space="preserve"> </w:t>
      </w:r>
      <w:r>
        <w:t xml:space="preserve">stakeholders remains the primary driver of market penetration in South Korea Seoul.</w:t>
      </w:r>
    </w:p>
    <w:bookmarkEnd w:id="20"/>
    <w:bookmarkStart w:id="21" w:name="X32d8c1f1ab83044c5e24187df6f7d86b8e70f6b"/>
    <w:p>
      <w:pPr>
        <w:pStyle w:val="Heading3"/>
      </w:pPr>
      <w:r>
        <w:t xml:space="preserve">Market Context: Radiology Demand Landscape in South Korea Seoul</w:t>
      </w:r>
    </w:p>
    <w:p>
      <w:pPr>
        <w:pStyle w:val="FirstParagraph"/>
      </w:pPr>
      <w:r>
        <w:t xml:space="preserve">Seoul's healthcare ecosystem presents unique opportunities for radiology service providers. With an aging population exceeding 20% (vs. OECD average of 16%), acute demand for diagnostic imaging has surged by 31% over three years according to Korea Health Industry Development Institute (KHIDI). Crucially, Seoul hosts 78% of South Korea's certified</w:t>
      </w:r>
      <w:r>
        <w:t xml:space="preserve"> </w:t>
      </w:r>
      <w:r>
        <w:rPr>
          <w:bCs/>
          <w:b/>
        </w:rPr>
        <w:t xml:space="preserve">Radiologist</w:t>
      </w:r>
      <w:r>
        <w:t xml:space="preserve"> </w:t>
      </w:r>
      <w:r>
        <w:t xml:space="preserve">specialists – making it the undisputed epicenter for radiology innovation. Government initiatives like the National Imaging Innovation Plan (2023) are accelerating investment in AI-integrated imaging systems across Seoul's 47 public hospitals, creating unprecedented sales opportunities.</w:t>
      </w:r>
    </w:p>
    <w:bookmarkEnd w:id="21"/>
    <w:bookmarkStart w:id="22" w:name="X8130b177268076d352632ea86f0881a6ddca071"/>
    <w:p>
      <w:pPr>
        <w:pStyle w:val="Heading3"/>
      </w:pPr>
      <w:r>
        <w:t xml:space="preserve">Q3 Sales Performance: Seoul Market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Radiologist Partnerships Secured (Seoul)</w:t>
            </w:r>
          </w:p>
        </w:tc>
        <w:tc>
          <w:tcPr/>
          <w:p>
            <w:pPr>
              <w:pStyle w:val="Compact"/>
              <w:jc w:val="left"/>
            </w:pPr>
            <w:r>
              <w:t xml:space="preserve">127</w:t>
            </w:r>
          </w:p>
        </w:tc>
        <w:tc>
          <w:tcPr/>
          <w:p>
            <w:pPr>
              <w:pStyle w:val="Compact"/>
              <w:jc w:val="left"/>
            </w:pPr>
            <w:r>
              <w:t xml:space="preserve">+22%</w:t>
            </w:r>
          </w:p>
        </w:tc>
        <w:tc>
          <w:tcPr/>
          <w:p>
            <w:pPr>
              <w:pStyle w:val="Compact"/>
              <w:jc w:val="left"/>
            </w:pPr>
            <w:r>
              <w:t xml:space="preserve">107% of Target</w:t>
            </w:r>
          </w:p>
        </w:tc>
      </w:tr>
      <w:tr>
        <w:tc>
          <w:tcPr/>
          <w:p>
            <w:pPr>
              <w:pStyle w:val="Compact"/>
              <w:jc w:val="left"/>
            </w:pPr>
            <w:r>
              <w:t xml:space="preserve">Total Revenue from Seoul Hospitals</w:t>
            </w:r>
          </w:p>
        </w:tc>
        <w:tc>
          <w:tcPr/>
          <w:p>
            <w:pPr>
              <w:pStyle w:val="Compact"/>
              <w:jc w:val="left"/>
            </w:pPr>
            <w:r>
              <w:t xml:space="preserve">KRW 84.6B</w:t>
            </w:r>
          </w:p>
        </w:tc>
        <w:tc>
          <w:tcPr/>
          <w:p>
            <w:pPr>
              <w:pStyle w:val="Compact"/>
              <w:jc w:val="left"/>
            </w:pPr>
            <w:r>
              <w:t xml:space="preserve">+18.5%</w:t>
            </w:r>
          </w:p>
        </w:tc>
        <w:tc>
          <w:tcPr/>
          <w:p>
            <w:pPr>
              <w:pStyle w:val="Compact"/>
              <w:jc w:val="left"/>
            </w:pPr>
            <w:r>
              <w:t xml:space="preserve">103% of Target</w:t>
            </w:r>
          </w:p>
        </w:tc>
      </w:tr>
      <w:tr>
        <w:tc>
          <w:tcPr/>
          <w:p>
            <w:pPr>
              <w:pStyle w:val="Compact"/>
              <w:jc w:val="left"/>
            </w:pPr>
            <w:r>
              <w:t xml:space="preserve">New AI-Powered Imaging System Sales</w:t>
            </w:r>
          </w:p>
        </w:tc>
        <w:tc>
          <w:tcPr/>
          <w:p>
            <w:pPr>
              <w:pStyle w:val="Compact"/>
              <w:jc w:val="left"/>
            </w:pPr>
            <w:r>
              <w:t xml:space="preserve">42 Units</w:t>
            </w:r>
          </w:p>
        </w:tc>
        <w:tc>
          <w:tcPr/>
          <w:p>
            <w:pPr>
              <w:pStyle w:val="Compact"/>
              <w:jc w:val="left"/>
            </w:pPr>
            <w:r>
              <w:t xml:space="preserve">+37.5%</w:t>
            </w:r>
          </w:p>
        </w:tc>
        <w:tc>
          <w:tcPr/>
          <w:p>
            <w:pPr>
              <w:pStyle w:val="Compact"/>
              <w:jc w:val="left"/>
            </w:pPr>
            <w:r>
              <w:t xml:space="preserve">120% of Target</w:t>
            </w:r>
          </w:p>
        </w:tc>
      </w:tr>
      <w:tr>
        <w:tc>
          <w:tcPr/>
          <w:p>
            <w:pPr>
              <w:pStyle w:val="Compact"/>
              <w:jc w:val="left"/>
            </w:pPr>
            <w:r>
              <w:t xml:space="preserve">Clinic-Integrated Solution Adoption Rate</w:t>
            </w:r>
          </w:p>
        </w:tc>
        <w:tc>
          <w:tcPr/>
          <w:p>
            <w:pPr>
              <w:pStyle w:val="Compact"/>
              <w:jc w:val="left"/>
            </w:pPr>
            <w:r>
              <w:t xml:space="preserve">68%</w:t>
            </w:r>
          </w:p>
        </w:tc>
        <w:tc>
          <w:tcPr/>
          <w:p>
            <w:pPr>
              <w:pStyle w:val="Compact"/>
              <w:jc w:val="left"/>
            </w:pPr>
            <w:r>
              <w:t xml:space="preserve">+15.3 pp</w:t>
            </w:r>
          </w:p>
        </w:tc>
        <w:tc>
          <w:tcPr/>
          <w:p>
            <w:pPr>
              <w:pStyle w:val="Compact"/>
              <w:jc w:val="left"/>
            </w:pPr>
            <w:r>
              <w:t xml:space="preserve">Exceeded by 12.7%</w:t>
            </w:r>
          </w:p>
        </w:tc>
      </w:tr>
    </w:tbl>
    <w:p>
      <w:pPr>
        <w:pStyle w:val="BodyText"/>
      </w:pPr>
      <w:r>
        <w:t xml:space="preserve">The most significant growth driver has been the adoption of AI-assisted diagnostic platforms among Seoul-based radiologists. Our sales team achieved a 42% increase in system installations at leading Seoul institutions like Samsung Medical Center and Severance Hospital – directly attributable to personalized demonstrations addressing</w:t>
      </w:r>
      <w:r>
        <w:t xml:space="preserve"> </w:t>
      </w:r>
      <w:r>
        <w:rPr>
          <w:bCs/>
          <w:b/>
        </w:rPr>
        <w:t xml:space="preserve">Radiologist</w:t>
      </w:r>
      <w:r>
        <w:t xml:space="preserve"> </w:t>
      </w:r>
      <w:r>
        <w:t xml:space="preserve">workflow challenges. Notably, 89% of new contracts included embedded training for radiology teams, reflecting our strategic pivot toward value-based partnerships rather than transactional sales.</w:t>
      </w:r>
    </w:p>
    <w:bookmarkEnd w:id="22"/>
    <w:bookmarkStart w:id="23" w:name="Xd75cdf8b71656c3b72cd4b448d29ea52d6b8037"/>
    <w:p>
      <w:pPr>
        <w:pStyle w:val="Heading3"/>
      </w:pPr>
      <w:r>
        <w:t xml:space="preserve">Key Account Success Stories in South Korea Seoul</w:t>
      </w:r>
    </w:p>
    <w:p>
      <w:pPr>
        <w:pStyle w:val="FirstParagraph"/>
      </w:pPr>
      <w:r>
        <w:rPr>
          <w:bCs/>
          <w:b/>
        </w:rPr>
        <w:t xml:space="preserve">Case Study 1: Gangnam Severance Hospital Partnership</w:t>
      </w:r>
    </w:p>
    <w:p>
      <w:pPr>
        <w:pStyle w:val="BodyText"/>
      </w:pPr>
      <w:r>
        <w:t xml:space="preserve">Through targeted engagement with the Chief Radiologist at this top-tier Seoul hospital, we secured a KRW 28B contract for our AI-powered CT suite. The sales process emphasized how our solution reduces radiologist report turnaround time by 34% – a critical metric in Seoul's high-volume emergency departments where patient throughput directly impacts revenue. Post-implementation data shows radiologists now handle 15% more cases daily without burnout, validating the ROI for Seoul's clinical leadership.</w:t>
      </w:r>
    </w:p>
    <w:p>
      <w:pPr>
        <w:pStyle w:val="BodyText"/>
      </w:pPr>
      <w:r>
        <w:rPr>
          <w:bCs/>
          <w:b/>
        </w:rPr>
        <w:t xml:space="preserve">Case Study 2: Gangnam Radiology Clinic Network</w:t>
      </w:r>
    </w:p>
    <w:p>
      <w:pPr>
        <w:pStyle w:val="BodyText"/>
      </w:pPr>
      <w:r>
        <w:t xml:space="preserve">A strategic account in Seoul's Gangnam district (home to 63% of Korea's private radiology clinics) represents our most successful clinic integration. Our sales team developed a customized subscription model for radiologists managing multiple outpatient facilities. By aligning pricing with Seoul-specific billing codes (KCC-2024), we achieved 98% retention in the first year – demonstrating that understanding South Korea Seoul's regulatory landscape is essential for sustained growth.</w:t>
      </w:r>
    </w:p>
    <w:bookmarkEnd w:id="23"/>
    <w:bookmarkStart w:id="24" w:name="market-challenges-strategic-adaptations"/>
    <w:p>
      <w:pPr>
        <w:pStyle w:val="Heading3"/>
      </w:pPr>
      <w:r>
        <w:t xml:space="preserve">Market Challenges &amp; Strategic Adaptations</w:t>
      </w:r>
    </w:p>
    <w:p>
      <w:pPr>
        <w:pStyle w:val="FirstParagraph"/>
      </w:pPr>
      <w:r>
        <w:t xml:space="preserve">Despite strong performance, our Sales Report identifies three critical challenges in Seoul:</w:t>
      </w:r>
    </w:p>
    <w:p>
      <w:pPr>
        <w:numPr>
          <w:ilvl w:val="0"/>
          <w:numId w:val="1001"/>
        </w:numPr>
        <w:pStyle w:val="Compact"/>
      </w:pPr>
      <w:r>
        <w:rPr>
          <w:bCs/>
          <w:b/>
        </w:rPr>
        <w:t xml:space="preserve">Regulatory Navigation</w:t>
      </w:r>
      <w:r>
        <w:t xml:space="preserve">: Seoul's strict medical device approval process (Ministry of Health and Welfare) creates 4-6 month delays. Our sales team now partners with local regulatory consultants for pre-submission strategy – reducing time-to-market by 31%.</w:t>
      </w:r>
    </w:p>
    <w:p>
      <w:pPr>
        <w:numPr>
          <w:ilvl w:val="0"/>
          <w:numId w:val="1001"/>
        </w:numPr>
        <w:pStyle w:val="Compact"/>
      </w:pPr>
      <w:r>
        <w:rPr>
          <w:bCs/>
          <w:b/>
        </w:rPr>
        <w:t xml:space="preserve">Competitive Pressure</w:t>
      </w:r>
      <w:r>
        <w:t xml:space="preserve">: Domestic players like Dongguk Medical Systems undercut pricing in Seoul's public sector. Our counter-strategy focuses on "value beyond price" through enhanced radiologist training and predictive maintenance – positioning us as a clinical partner rather than vendor.</w:t>
      </w:r>
    </w:p>
    <w:p>
      <w:pPr>
        <w:numPr>
          <w:ilvl w:val="0"/>
          <w:numId w:val="1001"/>
        </w:numPr>
        <w:pStyle w:val="Compact"/>
      </w:pPr>
      <w:r>
        <w:rPr>
          <w:bCs/>
          <w:b/>
        </w:rPr>
        <w:t xml:space="preserve">AI Integration Resistance</w:t>
      </w:r>
      <w:r>
        <w:t xml:space="preserve">: Some Seoul radiologists initially resisted AI tools due to workflow disruption fears. Our sales team implemented "shadowing" programs where our engineers work alongside radiologists during shifts, resulting in 76% of hesitant clinics adopting solutions within 90 days.</w:t>
      </w:r>
    </w:p>
    <w:bookmarkEnd w:id="24"/>
    <w:bookmarkStart w:id="25" w:name="X76c66f931fb851e8f990a5fa5b14da6e0813b24"/>
    <w:p>
      <w:pPr>
        <w:pStyle w:val="Heading3"/>
      </w:pPr>
      <w:r>
        <w:t xml:space="preserve">Future Strategy for South Korea Seoul Market</w:t>
      </w:r>
    </w:p>
    <w:p>
      <w:pPr>
        <w:pStyle w:val="FirstParagraph"/>
      </w:pPr>
      <w:r>
        <w:t xml:space="preserve">Based on this Sales Report, we recommend three priority initiatives for Q4 2024:</w:t>
      </w:r>
    </w:p>
    <w:p>
      <w:pPr>
        <w:numPr>
          <w:ilvl w:val="0"/>
          <w:numId w:val="1002"/>
        </w:numPr>
        <w:pStyle w:val="Compact"/>
      </w:pPr>
      <w:r>
        <w:rPr>
          <w:bCs/>
          <w:b/>
        </w:rPr>
        <w:t xml:space="preserve">Nationwide Radiologist Advisory Council</w:t>
      </w:r>
      <w:r>
        <w:t xml:space="preserve">: Establish a Seoul-based council of 15 leading radiologists to co-develop next-generation imaging solutions. This addresses the critical need for clinical input in product design, as evidenced by our Q3 data showing 87% of Seoul radiologists prioritizing "clinician-designed tools" over feature-rich but impractical systems.</w:t>
      </w:r>
    </w:p>
    <w:p>
      <w:pPr>
        <w:numPr>
          <w:ilvl w:val="0"/>
          <w:numId w:val="1002"/>
        </w:numPr>
        <w:pStyle w:val="Compact"/>
      </w:pPr>
      <w:r>
        <w:rPr>
          <w:bCs/>
          <w:b/>
        </w:rPr>
        <w:t xml:space="preserve">Seoul-Specific AI Training Hubs</w:t>
      </w:r>
      <w:r>
        <w:t xml:space="preserve">: Launch 4 dedicated training centers across Seoul (in Gangnam, Yeongdeungpo, Mapo, and Songpa) staffed by Korean-speaking radiologist trainers. This directly responds to Seoul's market demand for localized support – a factor cited in 73% of closed deals this quarter.</w:t>
      </w:r>
    </w:p>
    <w:p>
      <w:pPr>
        <w:numPr>
          <w:ilvl w:val="0"/>
          <w:numId w:val="1002"/>
        </w:numPr>
        <w:pStyle w:val="Compact"/>
      </w:pPr>
      <w:r>
        <w:rPr>
          <w:bCs/>
          <w:b/>
        </w:rPr>
        <w:t xml:space="preserve">Public Hospital Collaboration Framework</w:t>
      </w:r>
      <w:r>
        <w:t xml:space="preserve">: Develop a standardized partnership model for Seoul's 47 public hospitals, addressing their unique budget cycles and procurement rules. This will capitalize on the National Imaging Innovation Plan's KRW 120B funding allocation for AI integration.</w:t>
      </w:r>
    </w:p>
    <w:bookmarkEnd w:id="25"/>
    <w:bookmarkStart w:id="26" w:name="X3a018ca899a6dd87997704d8d56660ed5750dfe"/>
    <w:p>
      <w:pPr>
        <w:pStyle w:val="Heading3"/>
      </w:pPr>
      <w:r>
        <w:t xml:space="preserve">Conclusion: The Radiologist-Centric Growth Imperative</w:t>
      </w:r>
    </w:p>
    <w:p>
      <w:pPr>
        <w:pStyle w:val="FirstParagraph"/>
      </w:pPr>
      <w:r>
        <w:t xml:space="preserve">This Sales Report conclusively demonstrates that in South Korea Seoul, success hinges on radiologist relationship depth rather than product features alone. Our 22% YoY partnership growth and 107% revenue target achievement prove that when sales strategies prioritize the radiologist's clinical workflow and professional needs – not just technology specs – market dominance follows. As Seoul continues to lead South Korea's medical innovation trajectory, our ability to embed ourselves within its radiology community will determine our next decade of growth in this $320M Seoul-specific market.</w:t>
      </w:r>
    </w:p>
    <w:p>
      <w:pPr>
        <w:pStyle w:val="BodyText"/>
      </w:pPr>
      <w:r>
        <w:t xml:space="preserve">"In South Korea Seoul, the Radiologist isn't just a customer – they're our most valuable strategic partner. Our Sales Report proves that when we co-create solutions with them, we don't just sell products; we transform diagnostic excellence." –</w:t>
      </w:r>
      <w:r>
        <w:t xml:space="preserve"> </w:t>
      </w:r>
      <w:r>
        <w:rPr>
          <w:iCs/>
          <w:i/>
        </w:rPr>
        <w:t xml:space="preserve">Seoul Regional Sales Director</w:t>
      </w:r>
    </w:p>
    <w:p>
      <w:pPr>
        <w:pStyle w:val="BodyText"/>
      </w:pPr>
      <w:r>
        <w:t xml:space="preserve">Word Count: 856 | Report End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Market Analysis in South Korea Seoul</dc:title>
  <dc:creator/>
  <cp:keywords/>
  <dcterms:created xsi:type="dcterms:W3CDTF">2026-07-24T04:51:11Z</dcterms:created>
  <dcterms:modified xsi:type="dcterms:W3CDTF">2026-07-24T04:51:11Z</dcterms:modified>
</cp:coreProperties>
</file>

<file path=docProps/custom.xml><?xml version="1.0" encoding="utf-8"?>
<Properties xmlns="http://schemas.openxmlformats.org/officeDocument/2006/custom-properties" xmlns:vt="http://schemas.openxmlformats.org/officeDocument/2006/docPropsVTypes"/>
</file>