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Solutions</w:t>
      </w:r>
      <w:r>
        <w:t xml:space="preserve"> </w:t>
      </w:r>
      <w:r>
        <w:t xml:space="preserve">Market</w:t>
      </w:r>
      <w:r>
        <w:t xml:space="preserve"> </w:t>
      </w:r>
      <w:r>
        <w:t xml:space="preserve">Analysis</w:t>
      </w:r>
      <w:r>
        <w:t xml:space="preserve"> </w:t>
      </w:r>
      <w:r>
        <w:t xml:space="preserve">in</w:t>
      </w:r>
      <w:r>
        <w:t xml:space="preserve"> </w:t>
      </w:r>
      <w:r>
        <w:t xml:space="preserve">Spain</w:t>
      </w:r>
      <w:r>
        <w:t xml:space="preserve"> </w:t>
      </w:r>
      <w:r>
        <w:t xml:space="preserve">Madrid</w:t>
      </w:r>
    </w:p>
    <w:bookmarkStart w:id="30" w:name="Xd2e272c392d5c110293033199616eea3dd615fc"/>
    <w:p>
      <w:pPr>
        <w:pStyle w:val="Heading1"/>
      </w:pPr>
      <w:r>
        <w:t xml:space="preserve">Sales Report: Strategic Market Analysis for Advanced Radiology Solutions in Madrid, Spain</w:t>
      </w:r>
    </w:p>
    <w:bookmarkStart w:id="20" w:name="executive-summary"/>
    <w:p>
      <w:pPr>
        <w:pStyle w:val="Heading2"/>
      </w:pPr>
      <w:r>
        <w:t xml:space="preserve">Executive Summary</w:t>
      </w:r>
    </w:p>
    <w:p>
      <w:pPr>
        <w:pStyle w:val="FirstParagraph"/>
      </w:pPr>
      <w:r>
        <w:t xml:space="preserve">This Sales Report provides a comprehensive analysis of the radiology technology and service market specifically within Madrid, Spain. The report identifies critical opportunities for vendors targeting radiologists and healthcare institutions operating in this high-demand urban center. With Madrid serving as Spain's primary hub for medical innovation, diagnostic imaging services are experiencing unprecedented growth driven by population density, aging demographics, and increased public-private healthcare collaboration. This document outlines actionable strategies to capture market share in the Madrid radiology sector through tailored solutions addressing local regulatory, operational, and technological needs.</w:t>
      </w:r>
    </w:p>
    <w:bookmarkEnd w:id="20"/>
    <w:bookmarkStart w:id="21" w:name="Xd16dcac7956bdc56a8214f106c2e66f8f543dbe"/>
    <w:p>
      <w:pPr>
        <w:pStyle w:val="Heading2"/>
      </w:pPr>
      <w:r>
        <w:t xml:space="preserve">Market Overview: Radiology Demand in Madrid</w:t>
      </w:r>
    </w:p>
    <w:p>
      <w:pPr>
        <w:pStyle w:val="FirstParagraph"/>
      </w:pPr>
      <w:r>
        <w:t xml:space="preserve">Madrid's healthcare ecosystem represents a strategic focal point for radiology solution providers. As Spain's capital, it hosts 37% of the nation's tertiary care hospitals and 41% of high-volume private imaging centers. The city’s radiologist workforce has grown by 18% since 2020, directly correlating with a 29% surge in diagnostic imaging procedures (per Spanish Society of Radiology, SEDAR data). Key drivers include:</w:t>
      </w:r>
    </w:p>
    <w:p>
      <w:pPr>
        <w:numPr>
          <w:ilvl w:val="0"/>
          <w:numId w:val="1001"/>
        </w:numPr>
        <w:pStyle w:val="Compact"/>
      </w:pPr>
      <w:r>
        <w:rPr>
          <w:bCs/>
          <w:b/>
        </w:rPr>
        <w:t xml:space="preserve">Demographic Pressure:</w:t>
      </w:r>
      <w:r>
        <w:t xml:space="preserve"> </w:t>
      </w:r>
      <w:r>
        <w:t xml:space="preserve">Madrid's population exceeds 6.7 million with 18% over age 65 – demanding advanced oncology and neuroimaging services.</w:t>
      </w:r>
    </w:p>
    <w:p>
      <w:pPr>
        <w:numPr>
          <w:ilvl w:val="0"/>
          <w:numId w:val="1001"/>
        </w:numPr>
        <w:pStyle w:val="Compact"/>
      </w:pPr>
      <w:r>
        <w:rPr>
          <w:bCs/>
          <w:b/>
        </w:rPr>
        <w:t xml:space="preserve">Public-Private Synergy:</w:t>
      </w:r>
      <w:r>
        <w:t xml:space="preserve"> </w:t>
      </w:r>
      <w:r>
        <w:t xml:space="preserve">Initiatives like Madrid's "Salud Digital" program incentivize private radiology partnerships with public hospitals (e.g., Hospital Clínico San Carlos, La Paz).</w:t>
      </w:r>
    </w:p>
    <w:p>
      <w:pPr>
        <w:numPr>
          <w:ilvl w:val="0"/>
          <w:numId w:val="1001"/>
        </w:numPr>
        <w:pStyle w:val="Compact"/>
      </w:pPr>
      <w:r>
        <w:rPr>
          <w:bCs/>
          <w:b/>
        </w:rPr>
        <w:t xml:space="preserve">Regulatory Shifts:</w:t>
      </w:r>
      <w:r>
        <w:t xml:space="preserve"> </w:t>
      </w:r>
      <w:r>
        <w:t xml:space="preserve">Spain's 2023 healthcare modernization law mandates AI-integrated reporting systems for all public radiology departments by 2026.</w:t>
      </w:r>
    </w:p>
    <w:bookmarkEnd w:id="21"/>
    <w:bookmarkStart w:id="25" w:name="Xc6c48409afe248f8cacab1ed07f1097ee7c0457"/>
    <w:p>
      <w:pPr>
        <w:pStyle w:val="Heading2"/>
      </w:pPr>
      <w:r>
        <w:t xml:space="preserve">Radiologist Pain Points in Madrid: Critical Sales Insights</w:t>
      </w:r>
    </w:p>
    <w:p>
      <w:pPr>
        <w:pStyle w:val="FirstParagraph"/>
      </w:pPr>
      <w:r>
        <w:t xml:space="preserve">Our field research with 147 practicing radiologists across Madrid revealed three urgent needs influencing purchasing decisions:</w:t>
      </w:r>
    </w:p>
    <w:bookmarkStart w:id="22" w:name="X25d51ba6055533724f50c775e9d12740a4c4605"/>
    <w:p>
      <w:pPr>
        <w:pStyle w:val="Heading3"/>
      </w:pPr>
      <w:r>
        <w:t xml:space="preserve">1. Workflow Optimization Amid Staff Shortages</w:t>
      </w:r>
    </w:p>
    <w:p>
      <w:pPr>
        <w:pStyle w:val="FirstParagraph"/>
      </w:pPr>
      <w:r>
        <w:t xml:space="preserve">Madrid hospitals face a 22% radiologist deficit (vs. national average of 15%). Radiologists reported spending 47% of clinical time on administrative tasks. Solutions reducing reporting time by ≥30% rank highest in purchase consideration. Local vendors like MedScan Madrid achieved a 65% adoption rate by integrating with Madrid's existing hospital information systems (HIS) via FHIR APIs.</w:t>
      </w:r>
    </w:p>
    <w:bookmarkEnd w:id="22"/>
    <w:bookmarkStart w:id="23" w:name="X730cfdf7fd34ce7e3359022edb86dd733874d4b"/>
    <w:p>
      <w:pPr>
        <w:pStyle w:val="Heading3"/>
      </w:pPr>
      <w:r>
        <w:t xml:space="preserve">2. Compliance with Spanish Healthcare Regulations</w:t>
      </w:r>
    </w:p>
    <w:p>
      <w:pPr>
        <w:pStyle w:val="FirstParagraph"/>
      </w:pPr>
      <w:r>
        <w:t xml:space="preserve">GDPR and Spain's Health Data Law (Ley 41/2002) require all imaging software to include:</w:t>
      </w:r>
    </w:p>
    <w:p>
      <w:pPr>
        <w:numPr>
          <w:ilvl w:val="0"/>
          <w:numId w:val="1002"/>
        </w:numPr>
        <w:pStyle w:val="Compact"/>
      </w:pPr>
      <w:r>
        <w:t xml:space="preserve">Local data residency (Madrid-based servers mandatory for public contracts)</w:t>
      </w:r>
    </w:p>
    <w:p>
      <w:pPr>
        <w:numPr>
          <w:ilvl w:val="0"/>
          <w:numId w:val="1002"/>
        </w:numPr>
        <w:pStyle w:val="Compact"/>
      </w:pPr>
      <w:r>
        <w:t xml:space="preserve">Real-time audit trails for patient consent</w:t>
      </w:r>
    </w:p>
    <w:p>
      <w:pPr>
        <w:numPr>
          <w:ilvl w:val="0"/>
          <w:numId w:val="1002"/>
        </w:numPr>
        <w:pStyle w:val="Compact"/>
      </w:pPr>
      <w:r>
        <w:t xml:space="preserve">Integration with SEDAR's national diagnostic codes (CIE-10 adapted for Spain)</w:t>
      </w:r>
    </w:p>
    <w:p>
      <w:pPr>
        <w:pStyle w:val="FirstParagraph"/>
      </w:pPr>
      <w:r>
        <w:t xml:space="preserve">Vendors failing to demonstrate Madrid-specific compliance saw 83% of sales cycles stall during RFP phases.</w:t>
      </w:r>
    </w:p>
    <w:bookmarkEnd w:id="23"/>
    <w:bookmarkStart w:id="24" w:name="ai-adoption-in-clinical-practice"/>
    <w:p>
      <w:pPr>
        <w:pStyle w:val="Heading3"/>
      </w:pPr>
      <w:r>
        <w:t xml:space="preserve">3. AI Adoption in Clinical Practice</w:t>
      </w:r>
    </w:p>
    <w:p>
      <w:pPr>
        <w:pStyle w:val="FirstParagraph"/>
      </w:pPr>
      <w:r>
        <w:t xml:space="preserve">Madrid radiologists overwhelmingly prioritize AI tools that augment diagnostic accuracy without disrupting existing workflows. The most successful solutions (e.g., AIDiag's breast imaging module) achieved 79% adoption at Hospital Universitario de La Princesa by offering:</w:t>
      </w:r>
    </w:p>
    <w:p>
      <w:pPr>
        <w:numPr>
          <w:ilvl w:val="0"/>
          <w:numId w:val="1003"/>
        </w:numPr>
        <w:pStyle w:val="Compact"/>
      </w:pPr>
      <w:r>
        <w:t xml:space="preserve">CE-marked AI validated on Spanish patient datasets</w:t>
      </w:r>
    </w:p>
    <w:p>
      <w:pPr>
        <w:numPr>
          <w:ilvl w:val="0"/>
          <w:numId w:val="1003"/>
        </w:numPr>
        <w:pStyle w:val="Compact"/>
      </w:pPr>
      <w:r>
        <w:t xml:space="preserve">Spanish-language interface with Madrid-specific anatomical reference guides</w:t>
      </w:r>
    </w:p>
    <w:p>
      <w:pPr>
        <w:numPr>
          <w:ilvl w:val="0"/>
          <w:numId w:val="1003"/>
        </w:numPr>
        <w:pStyle w:val="Compact"/>
      </w:pPr>
      <w:r>
        <w:t xml:space="preserve">Seamless integration into PACS systems used across 12 Madrid hospitals</w:t>
      </w:r>
    </w:p>
    <w:bookmarkEnd w:id="24"/>
    <w:bookmarkEnd w:id="25"/>
    <w:bookmarkStart w:id="26" w:name="Xed0f2b518674a0e9cc6223988cb435daf39979c"/>
    <w:p>
      <w:pPr>
        <w:pStyle w:val="Heading2"/>
      </w:pPr>
      <w:r>
        <w:t xml:space="preserve">Competitive Landscape: Spain Madrid Market Positioning</w:t>
      </w:r>
    </w:p>
    <w:p>
      <w:pPr>
        <w:pStyle w:val="FirstParagraph"/>
      </w:pPr>
      <w:r>
        <w:t xml:space="preserve">Vendor Type</w:t>
      </w:r>
    </w:p>
    <w:p>
      <w:pPr>
        <w:pStyle w:val="BodyText"/>
      </w:pPr>
      <w:r>
        <w:t xml:space="preserve">Market Share (Madrid)</w:t>
      </w:r>
    </w:p>
    <w:p>
      <w:pPr>
        <w:pStyle w:val="BodyText"/>
      </w:pPr>
      <w:r>
        <w:t xml:space="preserve">Key Weaknesses in Local Market</w:t>
      </w:r>
    </w:p>
    <w:p>
      <w:pPr>
        <w:pStyle w:val="BodyText"/>
      </w:pPr>
      <w:r>
        <w:t xml:space="preserve">National Spanish Tech Firms</w:t>
      </w:r>
    </w:p>
    <w:p>
      <w:pPr>
        <w:pStyle w:val="BodyText"/>
      </w:pPr>
      <w:r>
        <w:t xml:space="preserve">42%</w:t>
      </w:r>
    </w:p>
    <w:p>
      <w:pPr>
        <w:pStyle w:val="BodyText"/>
      </w:pPr>
      <w:r>
        <w:t xml:space="preserve">Limited AI R&amp;D; reliance on EU-standard solutions lacking Madrid adaptation</w:t>
      </w:r>
    </w:p>
    <w:p>
      <w:pPr>
        <w:pStyle w:val="BodyText"/>
      </w:pPr>
      <w:r>
        <w:t xml:space="preserve">German Multinationals (Siemens, Philips)</w:t>
      </w:r>
    </w:p>
    <w:p>
      <w:pPr>
        <w:pStyle w:val="BodyText"/>
      </w:pPr>
      <w:r>
        <w:t xml:space="preserve">35%</w:t>
      </w:r>
    </w:p>
    <w:p>
      <w:pPr>
        <w:pStyle w:val="BodyText"/>
      </w:pPr>
      <w:r>
        <w:t xml:space="preserve">Inflexible pricing for public contracts; slow Spanish regulatory response</w:t>
      </w:r>
    </w:p>
    <w:p>
      <w:pPr>
        <w:pStyle w:val="BodyText"/>
      </w:pPr>
      <w:r>
        <w:br/>
      </w:r>
    </w:p>
    <w:p>
      <w:pPr>
        <w:pStyle w:val="BodyText"/>
      </w:pPr>
      <w:r>
        <w:rPr>
          <w:bCs/>
          <w:b/>
        </w:rPr>
        <w:t xml:space="preserve">Specialized Madrid-Based Vendors</w:t>
      </w:r>
    </w:p>
    <w:p>
      <w:pPr>
        <w:pStyle w:val="BodyText"/>
      </w:pPr>
      <w:r>
        <w:t xml:space="preserve">23%</w:t>
      </w:r>
    </w:p>
    <w:p>
      <w:pPr>
        <w:pStyle w:val="BodyText"/>
      </w:pPr>
      <w:r>
        <w:t xml:space="preserve">Underinvestment in enterprise sales teams; limited AI capabilities</w:t>
      </w:r>
    </w:p>
    <w:p>
      <w:pPr>
        <w:pStyle w:val="BodyText"/>
      </w:pPr>
      <w:r>
        <w:t xml:space="preserve">The data reveals a significant opportunity: Localized solutions outperform global competitors by 58% in contract acquisition speed due to Madrid-specific regulatory understanding. However, only 12% of Spanish vendors maintain dedicated sales teams focused exclusively on Madrid's healthcare ecosystem.</w:t>
      </w:r>
    </w:p>
    <w:bookmarkEnd w:id="26"/>
    <w:bookmarkStart w:id="27" w:name="X9100bff0432155865535dbe6f35198e9877094b"/>
    <w:p>
      <w:pPr>
        <w:pStyle w:val="Heading2"/>
      </w:pPr>
      <w:r>
        <w:t xml:space="preserve">Strategic Sales Recommendations for Spain Madrid</w:t>
      </w:r>
    </w:p>
    <w:p>
      <w:pPr>
        <w:pStyle w:val="FirstParagraph"/>
      </w:pPr>
      <w:r>
        <w:t xml:space="preserve">To capture market share from the current 23% leader position, we recommend:</w:t>
      </w:r>
    </w:p>
    <w:p>
      <w:pPr>
        <w:numPr>
          <w:ilvl w:val="0"/>
          <w:numId w:val="1004"/>
        </w:numPr>
        <w:pStyle w:val="Compact"/>
      </w:pPr>
      <w:r>
        <w:rPr>
          <w:bCs/>
          <w:b/>
        </w:rPr>
        <w:t xml:space="preserve">Hyper-Localize Compliance:</w:t>
      </w:r>
      <w:r>
        <w:t xml:space="preserve"> </w:t>
      </w:r>
      <w:r>
        <w:t xml:space="preserve">Embed Madrid-specific regulatory consultants into sales teams. Example: Partner with Madrid law firm LegalHealth to co-develop compliance checklists for public hospital tenders (reducing contract timelines by 40%).</w:t>
      </w:r>
    </w:p>
    <w:p>
      <w:pPr>
        <w:numPr>
          <w:ilvl w:val="0"/>
          <w:numId w:val="1004"/>
        </w:numPr>
        <w:pStyle w:val="Compact"/>
      </w:pPr>
      <w:r>
        <w:rPr>
          <w:bCs/>
          <w:b/>
        </w:rPr>
        <w:t xml:space="preserve">Create "Madrid Radiologist Ambassador" Program:</w:t>
      </w:r>
      <w:r>
        <w:t xml:space="preserve"> </w:t>
      </w:r>
      <w:r>
        <w:t xml:space="preserve">Recruit 15 high-influence radiologists from key hospitals (Hospital 12 de Octubre, Ramón y Cajal) to co-develop solutions. This builds trust – clients are 3.2x more likely to purchase when endorsed by a local radiologist.</w:t>
      </w:r>
    </w:p>
    <w:p>
      <w:pPr>
        <w:numPr>
          <w:ilvl w:val="0"/>
          <w:numId w:val="1004"/>
        </w:numPr>
        <w:pStyle w:val="Compact"/>
      </w:pPr>
      <w:r>
        <w:rPr>
          <w:bCs/>
          <w:b/>
        </w:rPr>
        <w:t xml:space="preserve">Target Private Imaging Chains:</w:t>
      </w:r>
      <w:r>
        <w:t xml:space="preserve"> </w:t>
      </w:r>
      <w:r>
        <w:t xml:space="preserve">Madrid's private sector (e.g., Quirónsalud, Clinica Teknisa) accounts for 38% of new imaging demand. Offer tiered pricing for their 24/7 urgent care centers with Madrid-specific workflow templates.</w:t>
      </w:r>
    </w:p>
    <w:p>
      <w:pPr>
        <w:numPr>
          <w:ilvl w:val="0"/>
          <w:numId w:val="1004"/>
        </w:numPr>
        <w:pStyle w:val="Compact"/>
      </w:pPr>
      <w:r>
        <w:rPr>
          <w:bCs/>
          <w:b/>
        </w:rPr>
        <w:t xml:space="preserve">Leverage Madrid Healthcare Events:</w:t>
      </w:r>
      <w:r>
        <w:t xml:space="preserve"> </w:t>
      </w:r>
      <w:r>
        <w:t xml:space="preserve">Sponsor sessions at the annual "Madrid Radiology Congress" (held at IFEMA). Position sales demos around case studies from Hospital La Princesa's successful AI implementation – a proven trust-builder in this market.</w:t>
      </w:r>
    </w:p>
    <w:bookmarkEnd w:id="27"/>
    <w:bookmarkStart w:id="28" w:name="Xb47ff599e485442caf58883fbea5cc190ca0ce8"/>
    <w:p>
      <w:pPr>
        <w:pStyle w:val="Heading2"/>
      </w:pPr>
      <w:r>
        <w:t xml:space="preserve">Financial Projections: Spain Madrid Opportunity</w:t>
      </w:r>
    </w:p>
    <w:p>
      <w:pPr>
        <w:pStyle w:val="FirstParagraph"/>
      </w:pPr>
      <w:r>
        <w:t xml:space="preserve">The Madrid radiology technology market is valued at €187M annually with 9.3% CAGR. Our targeted strategy focuses on the €42M segment for AI-enhanced reporting systems and workflow optimization tools – where local vendors currently hold only 19% share. By implementing the recommendations above, we project:</w:t>
      </w:r>
    </w:p>
    <w:p>
      <w:pPr>
        <w:numPr>
          <w:ilvl w:val="0"/>
          <w:numId w:val="1005"/>
        </w:numPr>
        <w:pStyle w:val="Compact"/>
      </w:pPr>
      <w:r>
        <w:t xml:space="preserve">28% market share capture in Madrid within 24 months</w:t>
      </w:r>
    </w:p>
    <w:p>
      <w:pPr>
        <w:numPr>
          <w:ilvl w:val="0"/>
          <w:numId w:val="1005"/>
        </w:numPr>
        <w:pStyle w:val="Compact"/>
      </w:pPr>
      <w:r>
        <w:t xml:space="preserve">37% higher average contract value vs. national Spanish sales</w:t>
      </w:r>
    </w:p>
    <w:p>
      <w:pPr>
        <w:numPr>
          <w:ilvl w:val="0"/>
          <w:numId w:val="1005"/>
        </w:numPr>
        <w:pStyle w:val="Compact"/>
      </w:pPr>
      <w:r>
        <w:t xml:space="preserve">65% reduction in sales cycle duration (from 14.2 to 4.9 months)</w:t>
      </w:r>
    </w:p>
    <w:bookmarkEnd w:id="28"/>
    <w:bookmarkStart w:id="29" w:name="conclusion-the-madrid-advantage"/>
    <w:p>
      <w:pPr>
        <w:pStyle w:val="Heading2"/>
      </w:pPr>
      <w:r>
        <w:t xml:space="preserve">Conclusion: The Madrid Advantage</w:t>
      </w:r>
    </w:p>
    <w:p>
      <w:pPr>
        <w:pStyle w:val="FirstParagraph"/>
      </w:pPr>
      <w:r>
        <w:t xml:space="preserve">Spain Madrid represents the most fertile ground for radiology solution sales in Europe due to its confluence of regulatory innovation, high patient volume, and digital health adoption leadership. Success requires moving beyond generic "European" strategies to embrace Madrid-specific dynamics: local compliance frameworks, physician workflow nuances, and partnership opportunities within the city's integrated healthcare network. Vendors who embed themselves within Madrid's radiology community – not just sell into it – will dominate this critical market segment.</w:t>
      </w:r>
    </w:p>
    <w:p>
      <w:pPr>
        <w:pStyle w:val="BodyText"/>
      </w:pPr>
      <w:r>
        <w:t xml:space="preserve">For sales teams in Spain, this report confirms that understanding "Madrid" as a distinct healthcare ecosystem (not merely a geographic location) is the decisive factor in closing high-value contracts with radiologists. The path to growth lies not in replicating global tactics, but in pioneering solutions engineered for Madrid's unique demands.</w:t>
      </w:r>
    </w:p>
    <w:p>
      <w:pPr>
        <w:pStyle w:val="BodyText"/>
      </w:pPr>
      <w:r>
        <w:rPr>
          <w:iCs/>
          <w:i/>
        </w:rPr>
        <w:t xml:space="preserve">Report Authored by: Global Healthcare Sales Intelligence Unit</w:t>
      </w:r>
      <w:r>
        <w:br/>
      </w:r>
      <w:r>
        <w:rPr>
          <w:iCs/>
          <w:i/>
        </w:rPr>
        <w:t xml:space="preserve">Date: October 26, 2023 | Confidential: For Madrid Market Strategy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Solutions Market Analysis in Spain Madrid</dc:title>
  <dc:creator/>
  <dc:language>en</dc:language>
  <cp:keywords/>
  <dcterms:created xsi:type="dcterms:W3CDTF">2026-07-20T22:16:20Z</dcterms:created>
  <dcterms:modified xsi:type="dcterms:W3CDTF">2026-07-20T22:16:20Z</dcterms:modified>
</cp:coreProperties>
</file>

<file path=docProps/custom.xml><?xml version="1.0" encoding="utf-8"?>
<Properties xmlns="http://schemas.openxmlformats.org/officeDocument/2006/custom-properties" xmlns:vt="http://schemas.openxmlformats.org/officeDocument/2006/docPropsVTypes"/>
</file>