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Ankara</w:t>
      </w:r>
    </w:p>
    <w:bookmarkStart w:id="25" w:name="Xe76c6be9b4a6e0c672752f2e74b43585704d5f2"/>
    <w:p>
      <w:pPr>
        <w:pStyle w:val="Heading1"/>
      </w:pPr>
      <w:r>
        <w:t xml:space="preserve">Annual Sales Report: Radiology Services Market Analysis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Division, National Medical Equipment Corporation</w:t>
      </w:r>
      <w:r>
        <w:br/>
      </w:r>
      <w:r>
        <w:rPr>
          <w:bCs/>
          <w:b/>
        </w:rPr>
        <w:t xml:space="preserve">Location Focus:</w:t>
      </w:r>
      <w:r>
        <w:t xml:space="preserve"> </w:t>
      </w:r>
      <w:r>
        <w:t xml:space="preserve">Ankara, Republic of Turkey</w:t>
      </w:r>
    </w:p>
    <w:bookmarkStart w:id="20" w:name="X5b83d0dfe8ad1f5cce201ac7fbb083f1354ca66"/>
    <w:p>
      <w:pPr>
        <w:pStyle w:val="Heading2"/>
      </w:pPr>
      <w:r>
        <w:t xml:space="preserve">Preface: The Critical Role of Radiologists in Ankara's Healthcare Ecosystem</w:t>
      </w:r>
    </w:p>
    <w:p>
      <w:pPr>
        <w:pStyle w:val="FirstParagraph"/>
      </w:pPr>
      <w:r>
        <w:t xml:space="preserve">This comprehensive Sales Report details the current market dynamics, performance metrics, and strategic opportunities for radiology service providers operating within Ankara, Turkey. As the capital city and second-largest metropolitan area in Turkey with a population exceeding 5.5 million residents, Ankara represents a pivotal hub for advanced diagnostic imaging services. The demand for highly skilled</w:t>
      </w:r>
      <w:r>
        <w:t xml:space="preserve"> </w:t>
      </w:r>
      <w:r>
        <w:rPr>
          <w:bCs/>
          <w:b/>
        </w:rPr>
        <w:t xml:space="preserve">Radiologist</w:t>
      </w:r>
      <w:r>
        <w:t xml:space="preserve"> </w:t>
      </w:r>
      <w:r>
        <w:t xml:space="preserve">professionals has intensified due to rising healthcare needs, an aging demographic, and significant government investments in modernizing Turkey's public healthcare infrastructure. This report synthesizes sales data from the past fiscal year (2022-2023), analyzes regional trends specific to Ankara, and provides actionable insights for vendors targeting this critical market.</w:t>
      </w:r>
    </w:p>
    <w:bookmarkEnd w:id="20"/>
    <w:bookmarkStart w:id="21" w:name="X33e86f7d3d06bb3cdfe3b5d89443cde9bab2aea"/>
    <w:p>
      <w:pPr>
        <w:pStyle w:val="Heading2"/>
      </w:pPr>
      <w:r>
        <w:t xml:space="preserve">Market Analysis: The Ankara Radiology Landscape</w:t>
      </w:r>
    </w:p>
    <w:p>
      <w:pPr>
        <w:pStyle w:val="FirstParagraph"/>
      </w:pPr>
      <w:r>
        <w:t xml:space="preserve">Ankara's healthcare sector is characterized by a dense concentration of public and private tertiary care facilities, including the renowned Ankara University Medical Faculty Hospital, Bilkent University Hospital, and numerous specialized imaging centers. A key finding from our analysis is that the demand for radiology services has grown at an annual rate of 12.7% in Ankara over the last three years, significantly outpacing national averages. This surge is directly linked to Turkey's National Health Transformation Program (NHTP), which prioritizes early detection initiatives for chronic diseases like cancer and cardiovascular disorders—areas where advanced imaging by a</w:t>
      </w:r>
      <w:r>
        <w:t xml:space="preserve"> </w:t>
      </w:r>
      <w:r>
        <w:rPr>
          <w:bCs/>
          <w:b/>
        </w:rPr>
        <w:t xml:space="preserve">Radiologist</w:t>
      </w:r>
      <w:r>
        <w:t xml:space="preserve"> </w:t>
      </w:r>
      <w:r>
        <w:t xml:space="preserve">is indispensable.</w:t>
      </w:r>
    </w:p>
    <w:p>
      <w:pPr>
        <w:pStyle w:val="BodyText"/>
      </w:pPr>
      <w:r>
        <w:t xml:space="preserve">However, a persistent shortage of certified Radiologists in Ankara presents both a challenge and an opportunity. While the city boasts approximately 1,200 active radiology specialists (75% concentrated in public hospitals), the patient-to-radiologist ratio remains at 1:8,500—far above the World Health Organization's recommended benchmark of 1:2,500. This gap creates urgent demand for efficient imaging solutions that optimize existing Radiologist workloads, directly influencing procurement decisions within Ankara healthcare institutions.</w:t>
      </w:r>
    </w:p>
    <w:bookmarkEnd w:id="21"/>
    <w:bookmarkStart w:id="22" w:name="Xc3a77c867f272db7907f907ca42c82b4fadbf48"/>
    <w:p>
      <w:pPr>
        <w:pStyle w:val="Heading2"/>
      </w:pPr>
      <w:r>
        <w:t xml:space="preserve">Sales Performance Summary: Data from Turkey Ankara</w:t>
      </w:r>
    </w:p>
    <w:p>
      <w:pPr>
        <w:pStyle w:val="FirstParagraph"/>
      </w:pPr>
      <w:r>
        <w:t xml:space="preserve">This Sales Report tracks key performance indicators (KPIs) across 38 major healthcare providers in Ankara during fiscal year 2023. Our primary metrics include equipment sales, service contracts, and software licensing for radiological departments: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(Ankara)</w:t>
            </w:r>
          </w:p>
        </w:tc>
        <w:tc>
          <w:tcPr/>
          <w:p>
            <w:pPr>
              <w:pStyle w:val="Compact"/>
              <w:jc w:val="left"/>
            </w:pPr>
            <w:r>
              <w:t xml:space="preserve">YoY Growth</w:t>
            </w:r>
          </w:p>
        </w:tc>
        <w:tc>
          <w:tcPr/>
          <w:p>
            <w:pPr>
              <w:pStyle w:val="Compact"/>
              <w:jc w:val="left"/>
            </w:pPr>
            <w:r>
              <w:t xml:space="preserve">Revenue Contribution (%)</w:t>
            </w:r>
          </w:p>
        </w:tc>
      </w:tr>
      <w:tr>
        <w:tc>
          <w:tcPr/>
          <w:p>
            <w:pPr>
              <w:pStyle w:val="Compact"/>
              <w:jc w:val="left"/>
            </w:pPr>
            <w:r>
              <w:t xml:space="preserve">Digital X-ray Systems</w:t>
            </w:r>
          </w:p>
        </w:tc>
        <w:tc>
          <w:tcPr/>
          <w:p>
            <w:pPr>
              <w:pStyle w:val="Compact"/>
              <w:jc w:val="left"/>
            </w:pPr>
            <w:r>
              <w:t xml:space="preserve">112</w:t>
            </w:r>
          </w:p>
        </w:tc>
        <w:tc>
          <w:tcPr/>
          <w:p>
            <w:pPr>
              <w:pStyle w:val="Compact"/>
              <w:jc w:val="left"/>
            </w:pPr>
            <w:r>
              <w:t xml:space="preserve">+9.4%</w:t>
            </w:r>
          </w:p>
        </w:tc>
        <w:tc>
          <w:tcPr/>
          <w:p>
            <w:pPr>
              <w:pStyle w:val="Compact"/>
              <w:jc w:val="left"/>
            </w:pPr>
            <w:r>
              <w:t xml:space="preserve">28.7%</w:t>
            </w:r>
          </w:p>
        </w:tc>
      </w:tr>
      <w:tr>
        <w:tc>
          <w:tcPr/>
          <w:p>
            <w:pPr>
              <w:pStyle w:val="Compact"/>
              <w:jc w:val="left"/>
            </w:pPr>
            <w:r>
              <w:t xml:space="preserve">MRI Scanners (1.5T &amp; 3T)</w:t>
            </w:r>
          </w:p>
        </w:tc>
        <w:tc>
          <w:tcPr/>
          <w:p>
            <w:pPr>
              <w:pStyle w:val="Compact"/>
              <w:jc w:val="left"/>
            </w:pPr>
            <w:r>
              <w:t xml:space="preserve">47</w:t>
            </w:r>
          </w:p>
        </w:tc>
        <w:tc>
          <w:tcPr/>
          <w:p>
            <w:pPr>
              <w:pStyle w:val="Compact"/>
              <w:jc w:val="left"/>
            </w:pPr>
            <w:r>
              <w:t xml:space="preserve">+23.6%</w:t>
            </w:r>
          </w:p>
        </w:tc>
        <w:tc>
          <w:tcPr/>
          <w:p>
            <w:pPr>
              <w:pStyle w:val="Compact"/>
              <w:jc w:val="left"/>
            </w:pPr>
            <w:r>
              <w:t xml:space="preserve">34.2%</w:t>
            </w:r>
          </w:p>
        </w:tc>
      </w:tr>
      <w:tr>
        <w:tc>
          <w:tcPr/>
          <w:p>
            <w:pPr>
              <w:pStyle w:val="Compact"/>
              <w:jc w:val="left"/>
            </w:pPr>
            <w:r>
              <w:t xml:space="preserve">PACS &amp; AI-Driven Analysis Software</w:t>
            </w:r>
          </w:p>
        </w:tc>
        <w:tc>
          <w:tcPr/>
          <w:p>
            <w:pPr>
              <w:pStyle w:val="Compact"/>
              <w:jc w:val="left"/>
            </w:pPr>
            <w:r>
              <w:t xml:space="preserve">89</w:t>
            </w:r>
          </w:p>
        </w:tc>
        <w:tc>
          <w:tcPr/>
          <w:p>
            <w:pPr>
              <w:pStyle w:val="Compact"/>
              <w:jc w:val="left"/>
            </w:pPr>
            <w:r>
              <w:t xml:space="preserve">+41.1%</w:t>
            </w:r>
          </w:p>
        </w:tc>
        <w:tc>
          <w:tcPr/>
          <w:p>
            <w:pPr>
              <w:pStyle w:val="Compact"/>
              <w:jc w:val="left"/>
            </w:pPr>
            <w:r>
              <w:t xml:space="preserve">27.5%</w:t>
            </w:r>
          </w:p>
        </w:tc>
      </w:tr>
      <w:tr>
        <w:tc>
          <w:tcPr/>
          <w:p>
            <w:pPr>
              <w:pStyle w:val="Compact"/>
              <w:jc w:val="left"/>
            </w:pPr>
            <w:r>
              <w:t xml:space="preserve">Ultrasound Systems (Portable)</w:t>
            </w:r>
          </w:p>
        </w:tc>
        <w:tc>
          <w:tcPr/>
          <w:p>
            <w:pPr>
              <w:pStyle w:val="Compact"/>
              <w:jc w:val="left"/>
            </w:pPr>
            <w:r>
              <w:t xml:space="preserve">63</w:t>
            </w:r>
          </w:p>
        </w:tc>
        <w:tc>
          <w:tcPr/>
          <w:p>
            <w:pPr>
              <w:pStyle w:val="Compact"/>
              <w:jc w:val="left"/>
            </w:pPr>
            <w:r>
              <w:t xml:space="preserve">+6.2%</w:t>
            </w:r>
          </w:p>
        </w:tc>
        <w:tc>
          <w:tcPr/>
          <w:p>
            <w:pPr>
              <w:pStyle w:val="Compact"/>
              <w:jc w:val="left"/>
            </w:pPr>
            <w:r>
              <w:t xml:space="preserve">9.6%</w:t>
            </w:r>
          </w:p>
        </w:tc>
      </w:tr>
    </w:tbl>
    <w:p>
      <w:pPr>
        <w:pStyle w:val="BodyText"/>
      </w:pPr>
      <w:r>
        <w:t xml:space="preserve">The data reveals a strategic shift in Ankara's radiology market: healthcare facilities are prioritizing high-throughput, AI-integrated solutions over basic equipment. The 41.1% YoY growth in PACS and AI software sales is particularly significant—it reflects hospitals' urgent need to enhance Radiologist productivity through automated image analysis, reducing diagnostic time by an average of 32%. This trend aligns directly with Turkey's Ministry of Health mandate for digital transformation in radiology departments by 2025.</w:t>
      </w:r>
    </w:p>
    <w:bookmarkEnd w:id="22"/>
    <w:bookmarkStart w:id="23" w:name="Xf1ed1ef1a65969580890b748b741c04b5bf6a67"/>
    <w:p>
      <w:pPr>
        <w:pStyle w:val="Heading2"/>
      </w:pPr>
      <w:r>
        <w:t xml:space="preserve">Strategic Recommendations for Sales Growth in Ankara</w:t>
      </w:r>
    </w:p>
    <w:p>
      <w:pPr>
        <w:pStyle w:val="FirstParagraph"/>
      </w:pPr>
      <w:r>
        <w:t xml:space="preserve">Based on the insights from this Sales Report, we recommend three targeted strategies to capture market share within Turkey Ankara:</w:t>
      </w:r>
    </w:p>
    <w:p>
      <w:pPr>
        <w:numPr>
          <w:ilvl w:val="0"/>
          <w:numId w:val="1001"/>
        </w:numPr>
        <w:pStyle w:val="Compact"/>
      </w:pPr>
      <w:r>
        <w:rPr>
          <w:bCs/>
          <w:b/>
        </w:rPr>
        <w:t xml:space="preserve">Develop Radiologist-Centric Training Programs:</w:t>
      </w:r>
      <w:r>
        <w:t xml:space="preserve"> </w:t>
      </w:r>
      <w:r>
        <w:t xml:space="preserve">Partner with Ankara University and Hacettepe University to co-develop certification courses for radiologists on AI-assisted diagnosis tools. Hospitals in Ankara are increasingly tying equipment purchases to provider training commitments.</w:t>
      </w:r>
    </w:p>
    <w:p>
      <w:pPr>
        <w:numPr>
          <w:ilvl w:val="0"/>
          <w:numId w:val="1001"/>
        </w:numPr>
        <w:pStyle w:val="Compact"/>
      </w:pPr>
      <w:r>
        <w:rPr>
          <w:bCs/>
          <w:b/>
        </w:rPr>
        <w:t xml:space="preserve">Prioritize Mobile &amp; Hybrid Imaging Solutions:</w:t>
      </w:r>
      <w:r>
        <w:t xml:space="preserve"> </w:t>
      </w:r>
      <w:r>
        <w:t xml:space="preserve">Ankara's sprawling urban geography creates demand for portable ultrasound and mobile CT units, especially for community health centers in districts like Çankaya and Keçiören. This addresses the radiologist shortage by enabling remote consultations.</w:t>
      </w:r>
    </w:p>
    <w:p>
      <w:pPr>
        <w:numPr>
          <w:ilvl w:val="0"/>
          <w:numId w:val="1001"/>
        </w:numPr>
        <w:pStyle w:val="Compact"/>
      </w:pPr>
      <w:r>
        <w:rPr>
          <w:bCs/>
          <w:b/>
        </w:rPr>
        <w:t xml:space="preserve">Leverage Turkey's Public-Private Partnerships (PPPs):</w:t>
      </w:r>
      <w:r>
        <w:t xml:space="preserve"> </w:t>
      </w:r>
      <w:r>
        <w:t xml:space="preserve">Ankara hosts 14 active healthcare PPPs under the Ministry of Health's "Healthy Turkey 2030" initiative. Our sales team should target these partnerships with bundled service packages that include Radiologist support as a core component.</w:t>
      </w:r>
    </w:p>
    <w:bookmarkEnd w:id="23"/>
    <w:bookmarkStart w:id="24" w:name="X948f09f121d2d2bd210599b1fb50b529f033eb2"/>
    <w:p>
      <w:pPr>
        <w:pStyle w:val="Heading2"/>
      </w:pPr>
      <w:r>
        <w:t xml:space="preserve">Conclusion: Positioning for Future Success in Ankara</w:t>
      </w:r>
    </w:p>
    <w:p>
      <w:pPr>
        <w:pStyle w:val="FirstParagraph"/>
      </w:pPr>
      <w:r>
        <w:t xml:space="preserve">This Sales Report unequivocally demonstrates that Ankara is Turkey's most promising market for advanced radiology solutions, driven by demographic pressures and national healthcare reforms. The convergence of escalating demand for Radiologist services, technological modernization mandates, and strategic public investments creates a unique opportunity to align product offerings with Ankara's specific needs. Vendors who position themselves as partners in enhancing Radiologist efficiency—through AI-integrated software, streamlined workflow tools, and collaborative training—will dominate this market.</w:t>
      </w:r>
    </w:p>
    <w:p>
      <w:pPr>
        <w:pStyle w:val="BodyText"/>
      </w:pPr>
      <w:r>
        <w:t xml:space="preserve">As Turkey continues its rapid healthcare expansion, Ankara will remain the epicenter of innovation for radiology services across the country. Our sales strategy must evolve beyond equipment transactions to become an indispensable resource for Radiologists navigating Ankara's complex healthcare landscape. The data is clear: success in Turkey Ankara hinges on understanding that every sale represents a direct investment in diagnostic excellence and patient outcomes.</w:t>
      </w:r>
    </w:p>
    <w:p>
      <w:pPr>
        <w:pStyle w:val="BodyText"/>
      </w:pPr>
      <w:r>
        <w:rPr>
          <w:bCs/>
          <w:b/>
        </w:rPr>
        <w:t xml:space="preserve">Prepared By:</w:t>
      </w:r>
      <w:r>
        <w:t xml:space="preserve"> </w:t>
      </w:r>
      <w:r>
        <w:t xml:space="preserve">Strategic Sales Intelligence Unit</w:t>
      </w:r>
      <w:r>
        <w:br/>
      </w:r>
      <w:r>
        <w:rPr>
          <w:bCs/>
          <w:b/>
        </w:rPr>
        <w:t xml:space="preserve">Contact:</w:t>
      </w:r>
      <w:r>
        <w:t xml:space="preserve"> </w:t>
      </w:r>
      <w:r>
        <w:t xml:space="preserve">sales.analytic@nationalmedical.com | +90 312 456 7890</w:t>
      </w:r>
    </w:p>
    <w:p>
      <w:r>
        <w:pict>
          <v:rect style="width:0;height:1.5pt" o:hralign="center" o:hrstd="t" o:hr="t"/>
        </w:pict>
      </w:r>
    </w:p>
    <w:p>
      <w:pPr>
        <w:pStyle w:val="FirstParagraph"/>
      </w:pPr>
      <w:r>
        <w:rPr>
          <w:iCs/>
          <w:i/>
        </w:rPr>
        <w:t xml:space="preserve">This report is confidential and intended solely for internal use by National Medical Equipment Corporation. Data sourced from Ministry of Health Turkey (2023), Ankara Healthcare Association, and proprietary sales databases.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Market Analysis - Turkey Ankara</dc:title>
  <dc:creator/>
  <dc:language>en</dc:language>
  <cp:keywords/>
  <dcterms:created xsi:type="dcterms:W3CDTF">2026-07-22T22:46:12Z</dcterms:created>
  <dcterms:modified xsi:type="dcterms:W3CDTF">2026-07-22T22:46:12Z</dcterms:modified>
</cp:coreProperties>
</file>

<file path=docProps/custom.xml><?xml version="1.0" encoding="utf-8"?>
<Properties xmlns="http://schemas.openxmlformats.org/officeDocument/2006/custom-properties" xmlns:vt="http://schemas.openxmlformats.org/officeDocument/2006/docPropsVTypes"/>
</file>