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Miami,</w:t>
      </w:r>
      <w:r>
        <w:t xml:space="preserve"> </w:t>
      </w:r>
      <w:r>
        <w:t xml:space="preserve">United</w:t>
      </w:r>
      <w:r>
        <w:t xml:space="preserve"> </w:t>
      </w:r>
      <w:r>
        <w:t xml:space="preserve">States</w:t>
      </w:r>
    </w:p>
    <w:bookmarkStart w:id="27" w:name="Xfd09395a075a526da590b73d8dd8cb110760c8d"/>
    <w:p>
      <w:pPr>
        <w:pStyle w:val="Heading1"/>
      </w:pPr>
      <w:r>
        <w:t xml:space="preserve">Comprehensive Sales Performance Report: Radiology Services in United States Miami</w:t>
      </w:r>
    </w:p>
    <w:bookmarkStart w:id="20" w:name="executive-summary"/>
    <w:p>
      <w:pPr>
        <w:pStyle w:val="Heading2"/>
      </w:pPr>
      <w:r>
        <w:t xml:space="preserve">Executive Summary</w:t>
      </w:r>
    </w:p>
    <w:p>
      <w:pPr>
        <w:pStyle w:val="FirstParagraph"/>
      </w:pPr>
      <w:r>
        <w:t xml:space="preserve">This sales report details the performance trajectory of radiological services across the United States Miami market for Q3 2023. As a critical healthcare provider in South Florida, our radiology division achieved remarkable growth with a 17.8% year-over-year revenue increase, reaching $4.2M in quarterly sales volume. This performance significantly outpaces the national average of 9.3% for diagnostic imaging services (per American College of Radiology data). The success stems from strategic market penetration, enhanced patient acquisition channels, and tailored service offerings aligned with Miami's unique demographic needs. Notably, this report underscores the radiologist's pivotal role in driving sales through clinical excellence and technological innovation rather than traditional marketing.</w:t>
      </w:r>
    </w:p>
    <w:bookmarkEnd w:id="20"/>
    <w:bookmarkStart w:id="21" w:name="market-analysis-miami-specific-dynamics"/>
    <w:p>
      <w:pPr>
        <w:pStyle w:val="Heading2"/>
      </w:pPr>
      <w:r>
        <w:t xml:space="preserve">Market Analysis: Miami-Specific Dynamics</w:t>
      </w:r>
    </w:p>
    <w:p>
      <w:pPr>
        <w:pStyle w:val="FirstParagraph"/>
      </w:pPr>
      <w:r>
        <w:t xml:space="preserve">Miami represents a high-growth market for radiology services due to its status as a top destination for medical tourism (1.2M international patients annually), rapidly aging population (18.7% over 65), and high incidence of trauma cases from tourism and coastal activities. Our analysis reveals that Miami's radiology market grew 14% in Q3 2023, fueled by demand for MRI/CT services (up 22%) and cancer imaging (up 18%). Crucially, competitive differentiation was achieved through our radiologist-led service model – unlike national chains relying on sales teams, our Miami practice integrates radiologists directly into patient engagement. This approach generated a 33% higher patient retention rate compared to competitors.</w:t>
      </w:r>
    </w:p>
    <w:bookmarkEnd w:id="21"/>
    <w:bookmarkStart w:id="22" w:name="X50a84dc28424b962088f68d29b57f576430dbce"/>
    <w:p>
      <w:pPr>
        <w:pStyle w:val="Heading2"/>
      </w:pPr>
      <w:r>
        <w:t xml:space="preserve">Sales Performance Breakdown by Service Line</w:t>
      </w:r>
    </w:p>
    <w:p>
      <w:pPr>
        <w:pStyle w:val="FirstParagraph"/>
      </w:pPr>
      <w:r>
        <w:t xml:space="preserve">Service Category</w:t>
      </w:r>
    </w:p>
    <w:p>
      <w:pPr>
        <w:pStyle w:val="BodyText"/>
      </w:pPr>
      <w:r>
        <w:t xml:space="preserve">Q3 2023 Revenue ($)</w:t>
      </w:r>
    </w:p>
    <w:p>
      <w:pPr>
        <w:pStyle w:val="BodyText"/>
      </w:pPr>
      <w:r>
        <w:t xml:space="preserve">% YOY Growth</w:t>
      </w:r>
    </w:p>
    <w:p>
      <w:pPr>
        <w:pStyle w:val="BodyText"/>
      </w:pPr>
      <w:r>
        <w:t xml:space="preserve">Key Driver</w:t>
      </w:r>
    </w:p>
    <w:p>
      <w:pPr>
        <w:pStyle w:val="BodyText"/>
      </w:pPr>
      <w:r>
        <w:t xml:space="preserve">MRI Services</w:t>
      </w:r>
    </w:p>
    <w:p>
      <w:pPr>
        <w:pStyle w:val="BodyText"/>
      </w:pPr>
      <w:r>
        <w:t xml:space="preserve">1,850,000</w:t>
      </w:r>
    </w:p>
    <w:p>
      <w:pPr>
        <w:pStyle w:val="BodyText"/>
      </w:pPr>
      <w:r>
        <w:t xml:space="preserve">24.1%</w:t>
      </w:r>
    </w:p>
    <w:p>
      <w:pPr>
        <w:pStyle w:val="BodyText"/>
      </w:pPr>
      <w:r>
        <w:t xml:space="preserve">Radiologist-guided musculoskeletal protocols for tourist injuries</w:t>
      </w:r>
    </w:p>
    <w:p>
      <w:pPr>
        <w:pStyle w:val="BodyText"/>
      </w:pPr>
      <w:r>
        <w:t xml:space="preserve">Cancer Screening (Mammo/CT)</w:t>
      </w:r>
    </w:p>
    <w:p>
      <w:pPr>
        <w:pStyle w:val="BodyText"/>
      </w:pPr>
      <w:r>
        <w:t xml:space="preserve">985,000</w:t>
      </w:r>
    </w:p>
    <w:p>
      <w:pPr>
        <w:pStyle w:val="BodyText"/>
      </w:pPr>
      <w:r>
        <w:t xml:space="preserve">19.7%</w:t>
      </w:r>
    </w:p>
    <w:p>
      <w:pPr>
        <w:pStyle w:val="BodyText"/>
      </w:pPr>
      <w:r>
        <w:t xml:space="preserve">Partnerships with Miami-Dade County health programs</w:t>
      </w:r>
    </w:p>
    <w:p>
      <w:pPr>
        <w:pStyle w:val="BodyText"/>
      </w:pPr>
      <w:r>
        <w:t xml:space="preserve">Trauma Imaging (ER)</w:t>
      </w:r>
    </w:p>
    <w:p>
      <w:pPr>
        <w:pStyle w:val="BodyText"/>
      </w:pPr>
      <w:r>
        <w:t xml:space="preserve">642,000</w:t>
      </w:r>
    </w:p>
    <w:p>
      <w:pPr>
        <w:pStyle w:val="BodyText"/>
      </w:pPr>
      <w:r>
        <w:t xml:space="preserve">31.2%</w:t>
      </w:r>
    </w:p>
    <w:p>
      <w:pPr>
        <w:pStyle w:val="BodyText"/>
      </w:pPr>
      <w:r>
        <w:t xml:space="preserve">Radiologist on-site availability at 3 major hospitals</w:t>
      </w:r>
    </w:p>
    <w:p>
      <w:pPr>
        <w:pStyle w:val="BodyText"/>
      </w:pPr>
      <w:r>
        <w:t xml:space="preserve">Vascular Studies</w:t>
      </w:r>
    </w:p>
    <w:p>
      <w:pPr>
        <w:pStyle w:val="BodyText"/>
      </w:pPr>
      <w:r>
        <w:t xml:space="preserve">518,000</w:t>
      </w:r>
    </w:p>
    <w:p>
      <w:pPr>
        <w:pStyle w:val="BodyText"/>
      </w:pPr>
      <w:r>
        <w:t xml:space="preserve">15.9%</w:t>
      </w:r>
    </w:p>
    <w:p>
      <w:pPr>
        <w:pStyle w:val="BodyText"/>
      </w:pPr>
      <w:r>
        <w:t xml:space="preserve">New tele-radiology contracts with 4 outpatient centers</w:t>
      </w:r>
    </w:p>
    <w:p>
      <w:pPr>
        <w:pStyle w:val="BodyText"/>
      </w:pPr>
      <w:r>
        <w:t xml:space="preserve">The radiologist's direct involvement in sales strategy proved decisive. For example, our Miami-based team developed a specialized "Tourist Care Package" including same-day MRI for sports injuries and multilingual radiologist consultations – driving a 41% surge in international patient conversions. Similarly, the Radiologist-in-Chief spearheaded partnerships with 7 major insurance providers (including Humana and Aetna) to create streamlined referral pathways, boosting volume from primary care physicians by 28%.</w:t>
      </w:r>
    </w:p>
    <w:bookmarkEnd w:id="22"/>
    <w:bookmarkStart w:id="23" w:name="X450edc3f09abceda684bd69aab1cfe7e42e396c"/>
    <w:p>
      <w:pPr>
        <w:pStyle w:val="Heading2"/>
      </w:pPr>
      <w:r>
        <w:t xml:space="preserve">Competitive Differentiation: The Radiologist Advantage</w:t>
      </w:r>
    </w:p>
    <w:p>
      <w:pPr>
        <w:pStyle w:val="FirstParagraph"/>
      </w:pPr>
      <w:r>
        <w:t xml:space="preserve">Unlike national competitors who outsourced radiology interpretation, our Miami sales model centers the radiologist as the sales executive. Each of our 14 board-certified radiologists at the Miami practice actively participates in:</w:t>
      </w:r>
    </w:p>
    <w:p>
      <w:pPr>
        <w:numPr>
          <w:ilvl w:val="0"/>
          <w:numId w:val="1001"/>
        </w:numPr>
        <w:pStyle w:val="Compact"/>
      </w:pPr>
      <w:r>
        <w:t xml:space="preserve">Physician referral network development through clinical education workshops</w:t>
      </w:r>
    </w:p>
    <w:p>
      <w:pPr>
        <w:numPr>
          <w:ilvl w:val="0"/>
          <w:numId w:val="1001"/>
        </w:numPr>
        <w:pStyle w:val="Compact"/>
      </w:pPr>
      <w:r>
        <w:t xml:space="preserve">Patient journey mapping to identify service gaps</w:t>
      </w:r>
    </w:p>
    <w:p>
      <w:pPr>
        <w:numPr>
          <w:ilvl w:val="0"/>
          <w:numId w:val="1001"/>
        </w:numPr>
        <w:pStyle w:val="Compact"/>
      </w:pPr>
      <w:r>
        <w:t xml:space="preserve">Real-time data analytics for personalized service offers</w:t>
      </w:r>
    </w:p>
    <w:p>
      <w:pPr>
        <w:pStyle w:val="FirstParagraph"/>
      </w:pPr>
      <w:r>
        <w:t xml:space="preserve">This approach generated a 5.2x higher patient lifetime value than industry benchmarks. For instance, Radiologist Dr. Elena Rodriguez's initiative to implement AI-assisted lung screening reduced report turnaround time by 40% while increasing high-risk patient follow-up rates by 63%. Such clinical innovations directly translate to sales – this service generated $217K in Q3 revenue alone and became a key selling point during hospital contracts.</w:t>
      </w:r>
    </w:p>
    <w:bookmarkEnd w:id="23"/>
    <w:bookmarkStart w:id="24" w:name="challenges-strategic-response"/>
    <w:p>
      <w:pPr>
        <w:pStyle w:val="Heading2"/>
      </w:pPr>
      <w:r>
        <w:t xml:space="preserve">Challenges &amp; Strategic Response</w:t>
      </w:r>
    </w:p>
    <w:p>
      <w:pPr>
        <w:pStyle w:val="FirstParagraph"/>
      </w:pPr>
      <w:r>
        <w:t xml:space="preserve">Key challenges identified include:</w:t>
      </w:r>
    </w:p>
    <w:p>
      <w:pPr>
        <w:numPr>
          <w:ilvl w:val="0"/>
          <w:numId w:val="1002"/>
        </w:numPr>
        <w:pStyle w:val="Compact"/>
      </w:pPr>
      <w:r>
        <w:rPr>
          <w:bCs/>
          <w:b/>
        </w:rPr>
        <w:t xml:space="preserve">Staffing Shortages:</w:t>
      </w:r>
      <w:r>
        <w:t xml:space="preserve"> </w:t>
      </w:r>
      <w:r>
        <w:t xml:space="preserve">30% vacancy rate among imaging technologists impacting service capacity</w:t>
      </w:r>
    </w:p>
    <w:p>
      <w:pPr>
        <w:numPr>
          <w:ilvl w:val="0"/>
          <w:numId w:val="1002"/>
        </w:numPr>
        <w:pStyle w:val="Compact"/>
      </w:pPr>
      <w:r>
        <w:rPr>
          <w:bCs/>
          <w:b/>
        </w:rPr>
        <w:t xml:space="preserve">Payer Pressures:</w:t>
      </w:r>
      <w:r>
        <w:t xml:space="preserve"> </w:t>
      </w:r>
      <w:r>
        <w:t xml:space="preserve">Medicare reimbursement cuts reducing margins by 8.2%</w:t>
      </w:r>
    </w:p>
    <w:p>
      <w:pPr>
        <w:numPr>
          <w:ilvl w:val="0"/>
          <w:numId w:val="1002"/>
        </w:numPr>
        <w:pStyle w:val="Compact"/>
      </w:pPr>
      <w:r>
        <w:rPr>
          <w:bCs/>
          <w:b/>
        </w:rPr>
        <w:t xml:space="preserve">Competition:</w:t>
      </w:r>
      <w:r>
        <w:t xml:space="preserve"> </w:t>
      </w:r>
      <w:r>
        <w:t xml:space="preserve">New national chains entering Miami with aggressive pricing</w:t>
      </w:r>
    </w:p>
    <w:p>
      <w:pPr>
        <w:pStyle w:val="FirstParagraph"/>
      </w:pPr>
      <w:r>
        <w:t xml:space="preserve">In response, our radiologist-led sales team executed:</w:t>
      </w:r>
    </w:p>
    <w:p>
      <w:pPr>
        <w:numPr>
          <w:ilvl w:val="0"/>
          <w:numId w:val="1003"/>
        </w:numPr>
        <w:pStyle w:val="Compact"/>
      </w:pPr>
      <w:r>
        <w:rPr>
          <w:iCs/>
          <w:i/>
        </w:rPr>
        <w:t xml:space="preserve">Strategic Staffing:</w:t>
      </w:r>
      <w:r>
        <w:t xml:space="preserve"> </w:t>
      </w:r>
      <w:r>
        <w:t xml:space="preserve">Partnered with University of Miami to create a radiology tech pipeline, filling 12 vacancies within 60 days</w:t>
      </w:r>
    </w:p>
    <w:p>
      <w:pPr>
        <w:numPr>
          <w:ilvl w:val="0"/>
          <w:numId w:val="1003"/>
        </w:numPr>
        <w:pStyle w:val="Compact"/>
      </w:pPr>
      <w:r>
        <w:rPr>
          <w:iCs/>
          <w:i/>
        </w:rPr>
        <w:t xml:space="preserve">Payer Negotiations:</w:t>
      </w:r>
      <w:r>
        <w:t xml:space="preserve"> </w:t>
      </w:r>
      <w:r>
        <w:t xml:space="preserve">Developed value-based contracts with Aetna demonstrating 32% reduction in unnecessary imaging through radiologist-led protocols</w:t>
      </w:r>
    </w:p>
    <w:p>
      <w:pPr>
        <w:numPr>
          <w:ilvl w:val="0"/>
          <w:numId w:val="1003"/>
        </w:numPr>
        <w:pStyle w:val="Compact"/>
      </w:pPr>
      <w:r>
        <w:rPr>
          <w:iCs/>
          <w:i/>
        </w:rPr>
        <w:t xml:space="preserve">Competitive Positioning:</w:t>
      </w:r>
      <w:r>
        <w:t xml:space="preserve"> </w:t>
      </w:r>
      <w:r>
        <w:t xml:space="preserve">Launched "Miami Radiology Advantage" – a bundled service including free second opinions from our board-certified radiologists, increasing patient conversions by 29%</w:t>
      </w:r>
    </w:p>
    <w:bookmarkEnd w:id="24"/>
    <w:bookmarkStart w:id="25" w:name="Xf9fe5c90738b4ceb81db99160046d4a7621617a"/>
    <w:p>
      <w:pPr>
        <w:pStyle w:val="Heading2"/>
      </w:pPr>
      <w:r>
        <w:t xml:space="preserve">Growth Opportunities in United States Miami</w:t>
      </w:r>
    </w:p>
    <w:p>
      <w:pPr>
        <w:pStyle w:val="FirstParagraph"/>
      </w:pPr>
      <w:r>
        <w:t xml:space="preserve">The report identifies three high-potential growth vectors:</w:t>
      </w:r>
    </w:p>
    <w:p>
      <w:pPr>
        <w:numPr>
          <w:ilvl w:val="0"/>
          <w:numId w:val="1004"/>
        </w:numPr>
        <w:pStyle w:val="Compact"/>
      </w:pPr>
      <w:r>
        <w:rPr>
          <w:bCs/>
          <w:b/>
        </w:rPr>
        <w:t xml:space="preserve">Medical Tourism Expansion:</w:t>
      </w:r>
      <w:r>
        <w:t xml:space="preserve"> </w:t>
      </w:r>
      <w:r>
        <w:t xml:space="preserve">Targeting Caribbean and South American markets with radiologist-designed concierge imaging packages. Pilot program secured 145 international patients ($387K revenue) in Q3.</w:t>
      </w:r>
    </w:p>
    <w:p>
      <w:pPr>
        <w:numPr>
          <w:ilvl w:val="0"/>
          <w:numId w:val="1004"/>
        </w:numPr>
        <w:pStyle w:val="Compact"/>
      </w:pPr>
      <w:r>
        <w:rPr>
          <w:bCs/>
          <w:b/>
        </w:rPr>
        <w:t xml:space="preserve">AI Integration:</w:t>
      </w:r>
      <w:r>
        <w:t xml:space="preserve"> </w:t>
      </w:r>
      <w:r>
        <w:t xml:space="preserve">Implementing our proprietary AI tool "Radiology Insight" to predict high-value service needs, projected to increase sales by $650K annually.</w:t>
      </w:r>
    </w:p>
    <w:p>
      <w:pPr>
        <w:numPr>
          <w:ilvl w:val="0"/>
          <w:numId w:val="1004"/>
        </w:numPr>
        <w:pStyle w:val="Compact"/>
      </w:pPr>
      <w:r>
        <w:rPr>
          <w:bCs/>
          <w:b/>
        </w:rPr>
        <w:t xml:space="preserve">Community Health Focus:</w:t>
      </w:r>
      <w:r>
        <w:t xml:space="preserve"> </w:t>
      </w:r>
      <w:r>
        <w:t xml:space="preserve">Partnering with Miami-Dade County for free diabetic foot screening using radiologists' expertise – generating 287 new patient leads in Q3 alone.</w:t>
      </w:r>
    </w:p>
    <w:bookmarkEnd w:id="25"/>
    <w:bookmarkStart w:id="26" w:name="X3aa80b9a5629284e6636ccbcd5f524e8788ed5f"/>
    <w:p>
      <w:pPr>
        <w:pStyle w:val="Heading2"/>
      </w:pPr>
      <w:r>
        <w:t xml:space="preserve">Conclusion: Radiologist as the Sales Engine</w:t>
      </w:r>
    </w:p>
    <w:p>
      <w:pPr>
        <w:pStyle w:val="FirstParagraph"/>
      </w:pPr>
      <w:r>
        <w:t xml:space="preserve">This United States Miami sales report conclusively demonstrates that radiologists are not just clinical providers but the central drivers of revenue growth in modern imaging services. The strategic integration of radiologists into sales operations – through direct patient engagement, service innovation, and data-driven partnership development – has created a sustainable competitive moat in the Miami market. As we enter 2024, our sales targets for Miami are set at $5.8M quarterly revenue (31% growth), with radiologist-led initiatives projected to capture 27% market share by Q2 2024.</w:t>
      </w:r>
    </w:p>
    <w:p>
      <w:pPr>
        <w:pStyle w:val="BodyText"/>
      </w:pPr>
      <w:r>
        <w:t xml:space="preserve">Crucially, this model aligns perfectly with Miami's unique healthcare ecosystem: the city's high patient volume demands rapid, accurate diagnosis; its diverse population requires culturally competent care; and its tourism economy necessitates seamless service integration. Our radiologists have become the sales representatives who deliver clinical outcomes that convert into revenue. This report confirms that in United States Miami – where healthcare is both a business and a community necessity – the radiologist is irreplaceable as the core of our sales strategy.</w:t>
      </w:r>
    </w:p>
    <w:p>
      <w:pPr>
        <w:pStyle w:val="BodyText"/>
      </w:pPr>
      <w:r>
        <w:rPr>
          <w:bCs/>
          <w:b/>
        </w:rPr>
        <w:t xml:space="preserve">Prepared For:</w:t>
      </w:r>
      <w:r>
        <w:t xml:space="preserve"> </w:t>
      </w:r>
      <w:r>
        <w:t xml:space="preserve">Executive Leadership, Radiology Practice Management</w:t>
      </w:r>
      <w:r>
        <w:br/>
      </w:r>
      <w:r>
        <w:rPr>
          <w:bCs/>
          <w:b/>
        </w:rPr>
        <w:t xml:space="preserve">Date:</w:t>
      </w:r>
      <w:r>
        <w:t xml:space="preserve"> </w:t>
      </w:r>
      <w:r>
        <w:t xml:space="preserve">October 26, 2023</w:t>
      </w:r>
      <w:r>
        <w:br/>
      </w:r>
      <w:r>
        <w:rPr>
          <w:bCs/>
          <w:b/>
        </w:rPr>
        <w:t xml:space="preserve">Prepared By:</w:t>
      </w:r>
      <w:r>
        <w:t xml:space="preserve"> </w:t>
      </w:r>
      <w:r>
        <w:t xml:space="preserve">Miami Regional Sales Analytics Team</w:t>
      </w:r>
    </w:p>
    <w:p>
      <w:r>
        <w:pict>
          <v:rect style="width:0;height:1.5pt" o:hralign="center" o:hrstd="t" o:hr="t"/>
        </w:pict>
      </w:r>
    </w:p>
    <w:p>
      <w:pPr>
        <w:pStyle w:val="FirstParagraph"/>
      </w:pPr>
      <w:r>
        <w:rPr>
          <w:iCs/>
          <w:i/>
        </w:rPr>
        <w:t xml:space="preserve">This sales report is exclusively for internal use by radiology service providers in United States Miami. All data sourced from internal practice management systems and ACR Market Research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 Miami, United States</dc:title>
  <dc:creator/>
  <dc:language>en</dc:language>
  <cp:keywords/>
  <dcterms:created xsi:type="dcterms:W3CDTF">2026-07-23T19:23:39Z</dcterms:created>
  <dcterms:modified xsi:type="dcterms:W3CDTF">2026-07-23T19:23:39Z</dcterms:modified>
</cp:coreProperties>
</file>

<file path=docProps/custom.xml><?xml version="1.0" encoding="utf-8"?>
<Properties xmlns="http://schemas.openxmlformats.org/officeDocument/2006/custom-properties" xmlns:vt="http://schemas.openxmlformats.org/officeDocument/2006/docPropsVTypes"/>
</file>