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31" w:name="X76743c1346e143389fd298bfe30d94069c72a89"/>
    <w:p>
      <w:pPr>
        <w:pStyle w:val="Heading1"/>
      </w:pPr>
      <w:r>
        <w:t xml:space="preserve">Comprehensive Sales Report: Radiologist Practice Performance Analysis for United States New York City (Q3 2023)</w:t>
      </w:r>
    </w:p>
    <w:bookmarkStart w:id="20" w:name="executive-summary"/>
    <w:p>
      <w:pPr>
        <w:pStyle w:val="Heading2"/>
      </w:pPr>
      <w:r>
        <w:t xml:space="preserve">Executive Summary</w:t>
      </w:r>
    </w:p>
    <w:p>
      <w:pPr>
        <w:pStyle w:val="FirstParagraph"/>
      </w:pPr>
      <w:r>
        <w:t xml:space="preserve">This Sales Report presents a detailed performance analysis of radiology services across the United States New York City healthcare market during the third quarter of 2023. The report focuses exclusively on diagnostic imaging service delivery by certified Radiologists operating within NYC's complex healthcare ecosystem. Despite ongoing economic pressures and evolving reimbursement models, our radiology practice achieved a 12.7% year-over-year revenue increase, outperforming the regional average by 4.3 percentage points. This success underscores the critical role of specialized Radiologist expertise in navigating New York City's competitive medical landscape.</w:t>
      </w:r>
    </w:p>
    <w:bookmarkEnd w:id="20"/>
    <w:bookmarkStart w:id="21" w:name="Xc74c327e61335972e83fdffb3abd7e915c17d40"/>
    <w:p>
      <w:pPr>
        <w:pStyle w:val="Heading2"/>
      </w:pPr>
      <w:r>
        <w:t xml:space="preserve">Market Context: Radiologist Services in United States New York City</w:t>
      </w:r>
    </w:p>
    <w:p>
      <w:pPr>
        <w:pStyle w:val="FirstParagraph"/>
      </w:pPr>
      <w:r>
        <w:t xml:space="preserve">New York City represents a unique healthcare frontier where nearly 14 million residents demand high-volume, high-acuity imaging services. As the largest metropolitan area in the United States, NYC accounts for 18% of all diagnostic radiology procedures nationally while housing just 4.3% of the country's population. The Radiologist profession here faces dual challenges: managing massive patient throughput within strict regulatory frameworks (including New York State Department of Health mandates) and adapting to NYC-specific payer dynamics. In this environment, our Sales Report demonstrates how strategic Radiologist service optimization directly impacts revenue stability.</w:t>
      </w:r>
    </w:p>
    <w:bookmarkEnd w:id="21"/>
    <w:bookmarkStart w:id="22" w:name="key-performance-indicators-q3-2023"/>
    <w:p>
      <w:pPr>
        <w:pStyle w:val="Heading2"/>
      </w:pPr>
      <w:r>
        <w:t xml:space="preserve">Key Performance Indicators: Q3 2023</w:t>
      </w:r>
    </w:p>
    <w:p>
      <w:pPr>
        <w:pStyle w:val="FirstParagraph"/>
      </w:pPr>
      <w:r>
        <w:t xml:space="preserve">KPI Metric</w:t>
      </w:r>
    </w:p>
    <w:p>
      <w:pPr>
        <w:pStyle w:val="BodyText"/>
      </w:pPr>
      <w:r>
        <w:t xml:space="preserve">Q3 2023</w:t>
      </w:r>
    </w:p>
    <w:p>
      <w:pPr>
        <w:pStyle w:val="BodyText"/>
      </w:pPr>
      <w:r>
        <w:t xml:space="preserve">YoY Change</w:t>
      </w:r>
    </w:p>
    <w:p>
      <w:pPr>
        <w:pStyle w:val="BodyText"/>
      </w:pPr>
      <w:r>
        <w:t xml:space="preserve">NYC Market Average</w:t>
      </w:r>
    </w:p>
    <w:p>
      <w:pPr>
        <w:pStyle w:val="BodyText"/>
      </w:pPr>
      <w:r>
        <w:t xml:space="preserve">Total Imaging Studies Interpreted</w:t>
      </w:r>
    </w:p>
    <w:p>
      <w:pPr>
        <w:pStyle w:val="BodyText"/>
      </w:pPr>
      <w:r>
        <w:t xml:space="preserve">147,850</w:t>
      </w:r>
    </w:p>
    <w:p>
      <w:pPr>
        <w:pStyle w:val="BodyText"/>
      </w:pPr>
      <w:r>
        <w:t xml:space="preserve">+12.7%</w:t>
      </w:r>
    </w:p>
    <w:p>
      <w:pPr>
        <w:pStyle w:val="BodyText"/>
      </w:pPr>
      <w:r>
        <w:t xml:space="preserve">+6.9%</w:t>
      </w:r>
    </w:p>
    <w:p>
      <w:pPr>
        <w:pStyle w:val="BodyText"/>
      </w:pPr>
      <w:r>
        <w:t xml:space="preserve">Average Daily Volume per Radiologist</w:t>
      </w:r>
    </w:p>
    <w:p>
      <w:pPr>
        <w:pStyle w:val="BodyText"/>
      </w:pPr>
      <w:r>
        <w:t xml:space="preserve">38.2 studies</w:t>
      </w:r>
    </w:p>
    <w:p>
      <w:pPr>
        <w:pStyle w:val="BodyText"/>
      </w:pPr>
      <w:r>
        <w:t xml:space="preserve">+9.3%</w:t>
      </w:r>
    </w:p>
    <w:p>
      <w:pPr>
        <w:pStyle w:val="BodyText"/>
      </w:pPr>
      <w:r>
        <w:t xml:space="preserve">+3.1%</w:t>
      </w:r>
    </w:p>
    <w:p>
      <w:pPr>
        <w:pStyle w:val="BodyText"/>
      </w:pPr>
      <w:r>
        <w:t xml:space="preserve">Payer Mix: Commercial vs. Medicaid/CHIP</w:t>
      </w:r>
    </w:p>
    <w:p>
      <w:pPr>
        <w:pStyle w:val="BodyText"/>
      </w:pPr>
      <w:r>
        <w:t xml:space="preserve">68% Commercial / 24% Medicaid</w:t>
      </w:r>
    </w:p>
    <w:p>
      <w:pPr>
        <w:pStyle w:val="BodyText"/>
      </w:pPr>
      <w:r>
        <w:t xml:space="preserve">5% Shift toward Commercial</w:t>
      </w:r>
    </w:p>
    <w:p>
      <w:pPr>
        <w:pStyle w:val="BodyText"/>
      </w:pPr>
      <w:r>
        <w:t xml:space="preserve">No Significant Shift</w:t>
      </w:r>
    </w:p>
    <w:p>
      <w:pPr>
        <w:pStyle w:val="BodyText"/>
      </w:pPr>
      <w:r>
        <w:t xml:space="preserve">Revenue per Study (Adjusted)</w:t>
      </w:r>
    </w:p>
    <w:p>
      <w:pPr>
        <w:pStyle w:val="BodyText"/>
      </w:pPr>
      <w:r>
        <w:t xml:space="preserve">$128.70</w:t>
      </w:r>
    </w:p>
    <w:p>
      <w:pPr>
        <w:pStyle w:val="BodyText"/>
      </w:pPr>
      <w:r>
        <w:t xml:space="preserve">+3.4%</w:t>
      </w:r>
    </w:p>
    <w:p>
      <w:pPr>
        <w:pStyle w:val="BodyText"/>
      </w:pPr>
      <w:r>
        <w:t xml:space="preserve">$124.30</w:t>
      </w:r>
    </w:p>
    <w:bookmarkEnd w:id="22"/>
    <w:bookmarkStart w:id="26" w:name="X752a79d24b2f2392b4922e2e556db683a27d659"/>
    <w:p>
      <w:pPr>
        <w:pStyle w:val="Heading2"/>
      </w:pPr>
      <w:r>
        <w:t xml:space="preserve">Service Line Breakdown: Radiologist Sales Performance by Modality</w:t>
      </w:r>
    </w:p>
    <w:p>
      <w:pPr>
        <w:pStyle w:val="FirstParagraph"/>
      </w:pPr>
      <w:r>
        <w:t xml:space="preserve">The sales dynamics across imaging modalities reveal critical insights for our Radiologist practice strategy:</w:t>
      </w:r>
    </w:p>
    <w:bookmarkStart w:id="23" w:name="mri-services-top-revenue-driver"/>
    <w:p>
      <w:pPr>
        <w:pStyle w:val="Heading3"/>
      </w:pPr>
      <w:r>
        <w:t xml:space="preserve">MRI Services (Top Revenue Driver)</w:t>
      </w:r>
    </w:p>
    <w:p>
      <w:pPr>
        <w:pStyle w:val="FirstParagraph"/>
      </w:pPr>
      <w:r>
        <w:t xml:space="preserve">Accounted for 41% of total revenue with a 16.2% YoY increase. The growth stems from strategic partnerships with NYC-based orthopedic centers and neurology practices. Notably, our specialized musculoskeletal MRI services captured 27% of the Manhattan market share—surpassing the regional average by 9 percentage points. This success directly demonstrates how Radiologist expertise in subspecialty imaging drives sales in New York City's competitive environment.</w:t>
      </w:r>
    </w:p>
    <w:bookmarkEnd w:id="23"/>
    <w:bookmarkStart w:id="24" w:name="ct-scan-optimization"/>
    <w:p>
      <w:pPr>
        <w:pStyle w:val="Heading3"/>
      </w:pPr>
      <w:r>
        <w:t xml:space="preserve">CT Scan Optimization</w:t>
      </w:r>
    </w:p>
    <w:p>
      <w:pPr>
        <w:pStyle w:val="FirstParagraph"/>
      </w:pPr>
      <w:r>
        <w:t xml:space="preserve">Volume increased by 14.8% as our Radiologist team implemented AI-assisted workflow protocols approved by NYC Health + Hospitals. The initiative reduced interpretation time by 22%, enabling a 37% increase in high-complexity oncology CT studies—critical for securing contracts with Memorial Sloan Kettering and NYU Langone.</w:t>
      </w:r>
    </w:p>
    <w:bookmarkEnd w:id="24"/>
    <w:bookmarkStart w:id="25" w:name="mobile-imaging-expansion"/>
    <w:p>
      <w:pPr>
        <w:pStyle w:val="Heading3"/>
      </w:pPr>
      <w:r>
        <w:t xml:space="preserve">Mobile Imaging Expansion</w:t>
      </w:r>
    </w:p>
    <w:p>
      <w:pPr>
        <w:pStyle w:val="FirstParagraph"/>
      </w:pPr>
      <w:r>
        <w:t xml:space="preserve">A new mobile ultrasound service targeting Bronx community health centers generated $185K in Q3 revenue. This initiative directly addressed NYC's health equity gap, as 62% of mobile patients were Medicaid recipients—a payer mix previously underserved by radiology practices in the United States New York City area.</w:t>
      </w:r>
    </w:p>
    <w:bookmarkEnd w:id="25"/>
    <w:bookmarkEnd w:id="26"/>
    <w:bookmarkStart w:id="27" w:name="X2313a0e72bb5886f2ab58efd22e1d10b0c1b8ef"/>
    <w:p>
      <w:pPr>
        <w:pStyle w:val="Heading2"/>
      </w:pPr>
      <w:r>
        <w:t xml:space="preserve">Competitive Analysis: Radiologist Differentiation in NYC</w:t>
      </w:r>
    </w:p>
    <w:p>
      <w:pPr>
        <w:pStyle w:val="FirstParagraph"/>
      </w:pPr>
      <w:r>
        <w:t xml:space="preserve">The Sales Report identifies three key differentiators that elevated our practice above competitors across United States New York City:</w:t>
      </w:r>
    </w:p>
    <w:p>
      <w:pPr>
        <w:numPr>
          <w:ilvl w:val="0"/>
          <w:numId w:val="1001"/>
        </w:numPr>
        <w:pStyle w:val="Compact"/>
      </w:pPr>
      <w:r>
        <w:rPr>
          <w:bCs/>
          <w:b/>
        </w:rPr>
        <w:t xml:space="preserve">Specialized Subspecialty Radiologists:</w:t>
      </w:r>
      <w:r>
        <w:t xml:space="preserve"> </w:t>
      </w:r>
      <w:r>
        <w:t xml:space="preserve">Our 15 radiologists now include 7 dedicated musculoskeletal, breast, and pediatric specialists—unlike the industry average of 2.3 subspecialists per practice in NYC. This specialization directly increased billing efficiency by $23 per study.</w:t>
      </w:r>
    </w:p>
    <w:p>
      <w:pPr>
        <w:numPr>
          <w:ilvl w:val="0"/>
          <w:numId w:val="1001"/>
        </w:numPr>
        <w:pStyle w:val="Compact"/>
      </w:pPr>
      <w:r>
        <w:rPr>
          <w:bCs/>
          <w:b/>
        </w:rPr>
        <w:t xml:space="preserve">NYC-Specific Payer Negotiations:</w:t>
      </w:r>
      <w:r>
        <w:t xml:space="preserve"> </w:t>
      </w:r>
      <w:r>
        <w:t xml:space="preserve">Successful renegotiation of Medicaid rates with NYC Health + Hospitals (securing 11% premium over standard rates) contributed $420K in incremental quarterly revenue.</w:t>
      </w:r>
    </w:p>
    <w:p>
      <w:pPr>
        <w:numPr>
          <w:ilvl w:val="0"/>
          <w:numId w:val="1001"/>
        </w:numPr>
        <w:pStyle w:val="Compact"/>
      </w:pPr>
      <w:r>
        <w:rPr>
          <w:bCs/>
          <w:b/>
        </w:rPr>
        <w:t xml:space="preserve">Emergency Department Integration:</w:t>
      </w:r>
      <w:r>
        <w:t xml:space="preserve"> </w:t>
      </w:r>
      <w:r>
        <w:t xml:space="preserve">Seamless reporting integration with Bellevue Hospital and NYU Langone Emergency Departments resulted in 98% on-time report delivery—critical for NYC's high-stress trauma centers where delayed Radiologist interpretations impact patient flow and billing cycles.</w:t>
      </w:r>
    </w:p>
    <w:bookmarkEnd w:id="27"/>
    <w:bookmarkStart w:id="28" w:name="challenges-strategic-imperatives"/>
    <w:p>
      <w:pPr>
        <w:pStyle w:val="Heading2"/>
      </w:pPr>
      <w:r>
        <w:t xml:space="preserve">Challenges &amp; Strategic Imperatives</w:t>
      </w:r>
    </w:p>
    <w:p>
      <w:pPr>
        <w:pStyle w:val="FirstParagraph"/>
      </w:pPr>
      <w:r>
        <w:t xml:space="preserve">Despite strong performance, the Sales Report identifies critical challenges requiring immediate Radiologist-led solutions in United States New York City:</w:t>
      </w:r>
    </w:p>
    <w:p>
      <w:pPr>
        <w:numPr>
          <w:ilvl w:val="0"/>
          <w:numId w:val="1002"/>
        </w:numPr>
        <w:pStyle w:val="Compact"/>
      </w:pPr>
      <w:r>
        <w:rPr>
          <w:bCs/>
          <w:b/>
        </w:rPr>
        <w:t xml:space="preserve">MRI Capacity Constraints:</w:t>
      </w:r>
      <w:r>
        <w:t xml:space="preserve"> </w:t>
      </w:r>
      <w:r>
        <w:t xml:space="preserve">NYC's radiology equipment shortage (only 0.3 MRI units per 100k residents versus national average of 0.4) creates bottlenecks. Our Radiologist team must prioritize high-margin oncology and cardiac imaging to maximize revenue within constraints.</w:t>
      </w:r>
    </w:p>
    <w:p>
      <w:pPr>
        <w:numPr>
          <w:ilvl w:val="0"/>
          <w:numId w:val="1002"/>
        </w:numPr>
        <w:pStyle w:val="Compact"/>
      </w:pPr>
      <w:r>
        <w:rPr>
          <w:bCs/>
          <w:b/>
        </w:rPr>
        <w:t xml:space="preserve">Reimbursement Pressures:</w:t>
      </w:r>
      <w:r>
        <w:t xml:space="preserve"> </w:t>
      </w:r>
      <w:r>
        <w:t xml:space="preserve">Medicare Part B cuts (5% reduction effective July 2023) threaten profitability. The Sales Report recommends developing "value-based" contracts with NYC health systems that tie Radiologist reimbursement to reduced emergency readmission rates—a strategy proven successful in our recent Mount Sinai partnership.</w:t>
      </w:r>
    </w:p>
    <w:p>
      <w:pPr>
        <w:numPr>
          <w:ilvl w:val="0"/>
          <w:numId w:val="1002"/>
        </w:numPr>
        <w:pStyle w:val="Compact"/>
      </w:pPr>
      <w:r>
        <w:rPr>
          <w:bCs/>
          <w:b/>
        </w:rPr>
        <w:t xml:space="preserve">Workforce Shortages:</w:t>
      </w:r>
      <w:r>
        <w:t xml:space="preserve"> </w:t>
      </w:r>
      <w:r>
        <w:t xml:space="preserve">NYC's radiology residency program graduates are 18% below demand. The Sales Report advocates for Radiologist mentorship programs targeting medical students at NYU Grossman School of Medicine to secure future talent.</w:t>
      </w:r>
    </w:p>
    <w:bookmarkEnd w:id="28"/>
    <w:bookmarkStart w:id="29" w:name="future-outlook-strategic-recommendations"/>
    <w:p>
      <w:pPr>
        <w:pStyle w:val="Heading2"/>
      </w:pPr>
      <w:r>
        <w:t xml:space="preserve">Future Outlook: Strategic Recommendations</w:t>
      </w:r>
    </w:p>
    <w:p>
      <w:pPr>
        <w:pStyle w:val="FirstParagraph"/>
      </w:pPr>
      <w:r>
        <w:t xml:space="preserve">The Sales Report concludes with three actionable recommendations for sustaining Radiologist-driven growth in United States New York City:</w:t>
      </w:r>
    </w:p>
    <w:p>
      <w:pPr>
        <w:numPr>
          <w:ilvl w:val="0"/>
          <w:numId w:val="1003"/>
        </w:numPr>
        <w:pStyle w:val="Compact"/>
      </w:pPr>
      <w:r>
        <w:rPr>
          <w:bCs/>
          <w:b/>
        </w:rPr>
        <w:t xml:space="preserve">Expand Subspecialty Centers:</w:t>
      </w:r>
      <w:r>
        <w:t xml:space="preserve"> </w:t>
      </w:r>
      <w:r>
        <w:t xml:space="preserve">Establish dedicated breast imaging and pediatric neuro-radiology hubs at Brooklyn Hospital Center to capture 20% of NYC's $87M annual breast imaging market.</w:t>
      </w:r>
    </w:p>
    <w:p>
      <w:pPr>
        <w:numPr>
          <w:ilvl w:val="0"/>
          <w:numId w:val="1003"/>
        </w:numPr>
        <w:pStyle w:val="Compact"/>
      </w:pPr>
      <w:r>
        <w:rPr>
          <w:bCs/>
          <w:b/>
        </w:rPr>
        <w:t xml:space="preserve">NYC Payer Innovation:</w:t>
      </w:r>
      <w:r>
        <w:t xml:space="preserve"> </w:t>
      </w:r>
      <w:r>
        <w:t xml:space="preserve">Develop a bundled payment model for trauma centers where Radiologist interpretation is included in hospital emergency department rates—projected to increase revenue by 15-18% annually.</w:t>
      </w:r>
    </w:p>
    <w:p>
      <w:pPr>
        <w:numPr>
          <w:ilvl w:val="0"/>
          <w:numId w:val="1003"/>
        </w:numPr>
        <w:pStyle w:val="Compact"/>
      </w:pPr>
      <w:r>
        <w:rPr>
          <w:bCs/>
          <w:b/>
        </w:rPr>
        <w:t xml:space="preserve">Digital Transformation:</w:t>
      </w:r>
      <w:r>
        <w:t xml:space="preserve"> </w:t>
      </w:r>
      <w:r>
        <w:t xml:space="preserve">Implement blockchain-based image sharing across NYC health systems (partnering with NYU Langone's enterprise network) to reduce duplicate scans—a $2.3M annual revenue opportunity identified in our sales data.</w:t>
      </w:r>
    </w:p>
    <w:bookmarkEnd w:id="29"/>
    <w:bookmarkStart w:id="30" w:name="conclusion"/>
    <w:p>
      <w:pPr>
        <w:pStyle w:val="Heading2"/>
      </w:pPr>
      <w:r>
        <w:t xml:space="preserve">Conclusion</w:t>
      </w:r>
    </w:p>
    <w:p>
      <w:pPr>
        <w:pStyle w:val="FirstParagraph"/>
      </w:pPr>
      <w:r>
        <w:t xml:space="preserve">This Sales Report unequivocally demonstrates that Radiologist expertise remains the cornerstone of financial success in United States New York City's radiology market. Our practice's 12.7% revenue growth against a backdrop of national reimbursement headwinds proves that specialized Radiologist leadership directly drives measurable sales outcomes. As NYC continues evolving toward value-based care, practices will increasingly differentiate through the precision and efficiency delivered by our Radiologist team—not merely through volume metrics.</w:t>
      </w:r>
    </w:p>
    <w:p>
      <w:pPr>
        <w:pStyle w:val="BodyText"/>
      </w:pPr>
      <w:r>
        <w:t xml:space="preserve">For United States New York City healthcare providers, this Sales Report serves as a blueprint: investing in Radiologist subspecialization, strategic payer relationships, and technology integration isn't just operationally sound—it's the primary engine for sustainable growth. The data is clear: In one of the world's most demanding medical markets, it's the Radiologist who turns imaging volume into revenue stability.</w:t>
      </w:r>
    </w:p>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July 1 - September 30,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Performance Report: United States New York City Market</dc:title>
  <dc:creator/>
  <dc:language>en</dc:language>
  <cp:keywords/>
  <dcterms:created xsi:type="dcterms:W3CDTF">2025-12-09T20:12:42Z</dcterms:created>
  <dcterms:modified xsi:type="dcterms:W3CDTF">2025-12-09T20:12:42Z</dcterms:modified>
</cp:coreProperties>
</file>

<file path=docProps/custom.xml><?xml version="1.0" encoding="utf-8"?>
<Properties xmlns="http://schemas.openxmlformats.org/officeDocument/2006/custom-properties" xmlns:vt="http://schemas.openxmlformats.org/officeDocument/2006/docPropsVTypes"/>
</file>