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7" w:name="X95632710356292b7461f46f49e16581ec35165c"/>
    <w:p>
      <w:pPr>
        <w:pStyle w:val="Heading1"/>
      </w:pPr>
      <w:r>
        <w:t xml:space="preserve">SALES REPORT: ROBOTICS ENGINEER SERVICES PERFORMANCE IN BELGIUM BRUSSELS</w:t>
      </w:r>
    </w:p>
    <w:p>
      <w:pPr>
        <w:pStyle w:val="FirstParagraph"/>
      </w:pPr>
      <w:r>
        <w:t xml:space="preserve">Prepared for Executive Leadership | Q3 2023 Quarter | Confidential</w:t>
      </w:r>
    </w:p>
    <w:bookmarkStart w:id="20" w:name="executive-summary"/>
    <w:p>
      <w:pPr>
        <w:pStyle w:val="Heading2"/>
      </w:pPr>
      <w:r>
        <w:t xml:space="preserve">Executive Summary</w:t>
      </w:r>
    </w:p>
    <w:p>
      <w:pPr>
        <w:pStyle w:val="FirstParagraph"/>
      </w:pPr>
      <w:r>
        <w:t xml:space="preserve">This comprehensive Sales Report details the market performance of Robotics Engineer services across Belgium Brussels, analyzing sales trends, client acquisition metrics, and strategic opportunities. As the European Union's political and administrative hub, Brussels presents a unique ecosystem where robotics innovation intersects with public policy and multinational enterprise needs. Our robotics engineering solutions have achieved remarkable traction in this region, with sales growth exceeding industry benchmarks by 27% year-over-year. The report confirms Belgium Brussels as a critical growth market for advanced robotics services, driven by government initiatives like the</w:t>
      </w:r>
      <w:r>
        <w:t xml:space="preserve"> </w:t>
      </w:r>
      <w:r>
        <w:rPr>
          <w:iCs/>
          <w:i/>
        </w:rPr>
        <w:t xml:space="preserve">Robotics &amp; AI Strategy 2030</w:t>
      </w:r>
      <w:r>
        <w:t xml:space="preserve"> </w:t>
      </w:r>
      <w:r>
        <w:t xml:space="preserve">and burgeoning demand from manufacturing, healthcare, and logistics sectors.</w:t>
      </w:r>
    </w:p>
    <w:bookmarkEnd w:id="20"/>
    <w:bookmarkStart w:id="21" w:name="X3aac0a9d30db90641a394f2774b5203e80882d1"/>
    <w:p>
      <w:pPr>
        <w:pStyle w:val="Heading2"/>
      </w:pPr>
      <w:r>
        <w:t xml:space="preserve">Market Analysis: Robotics Engineer Demand in Belgium Brussels</w:t>
      </w:r>
    </w:p>
    <w:p>
      <w:pPr>
        <w:pStyle w:val="FirstParagraph"/>
      </w:pPr>
      <w:r>
        <w:t xml:space="preserve">Belgium Brussels has evolved into a pivotal hub for robotics engineering talent and implementation. The region's concentration of EU institutions, multinational corporations (including major players like Solvay, ABB, and Bosch), and research centers (such as Vrije Universiteit Brussel's Robotics Lab) creates a perfect storm for robotics service adoption. Our Sales Report data reveals that 68% of enterprises in Brussels now prioritize robotics integration—up from 42% in 2020—with demand for specialized</w:t>
      </w:r>
      <w:r>
        <w:t xml:space="preserve"> </w:t>
      </w:r>
      <w:r>
        <w:rPr>
          <w:bCs/>
          <w:b/>
        </w:rPr>
        <w:t xml:space="preserve">Robotics Engineer</w:t>
      </w:r>
      <w:r>
        <w:t xml:space="preserve"> </w:t>
      </w:r>
      <w:r>
        <w:t xml:space="preserve">talent growing at 31% annually. Key drivers include:</w:t>
      </w:r>
    </w:p>
    <w:p>
      <w:pPr>
        <w:numPr>
          <w:ilvl w:val="0"/>
          <w:numId w:val="1001"/>
        </w:numPr>
        <w:pStyle w:val="Compact"/>
      </w:pPr>
      <w:r>
        <w:rPr>
          <w:bCs/>
          <w:b/>
        </w:rPr>
        <w:t xml:space="preserve">Regulatory Tailwinds:</w:t>
      </w:r>
      <w:r>
        <w:t xml:space="preserve"> </w:t>
      </w:r>
      <w:r>
        <w:t xml:space="preserve">EU's AI Act and Industry 4.0 mandates requiring robotics compliance have accelerated procurement cycles for engineering services.</w:t>
      </w:r>
    </w:p>
    <w:p>
      <w:pPr>
        <w:numPr>
          <w:ilvl w:val="0"/>
          <w:numId w:val="1001"/>
        </w:numPr>
        <w:pStyle w:val="Compact"/>
      </w:pPr>
      <w:r>
        <w:rPr>
          <w:bCs/>
          <w:b/>
        </w:rPr>
        <w:t xml:space="preserve">Industrial Modernization:</w:t>
      </w:r>
      <w:r>
        <w:t xml:space="preserve"> </w:t>
      </w:r>
      <w:r>
        <w:t xml:space="preserve">Brussels' manufacturing cluster (including automotive and pharmaceutical giants) seeks automation to offset labor shortages.</w:t>
      </w:r>
    </w:p>
    <w:p>
      <w:pPr>
        <w:numPr>
          <w:ilvl w:val="0"/>
          <w:numId w:val="1001"/>
        </w:numPr>
        <w:pStyle w:val="Compact"/>
      </w:pPr>
      <w:r>
        <w:rPr>
          <w:bCs/>
          <w:b/>
        </w:rPr>
        <w:t xml:space="preserve">Skill Shortage Crisis:</w:t>
      </w:r>
      <w:r>
        <w:t xml:space="preserve"> </w:t>
      </w:r>
      <w:r>
        <w:t xml:space="preserve">Belgium faces a 24,000-engineer deficit in robotics fields, creating immediate market opportunity for our service offerings.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New Client Acquisitions</w:t>
            </w:r>
          </w:p>
        </w:tc>
        <w:tc>
          <w:tcPr/>
          <w:p>
            <w:pPr>
              <w:pStyle w:val="Compact"/>
              <w:jc w:val="right"/>
            </w:pPr>
            <w:r>
              <w:t xml:space="preserve">27</w:t>
            </w:r>
          </w:p>
        </w:tc>
        <w:tc>
          <w:tcPr/>
          <w:p>
            <w:pPr>
              <w:pStyle w:val="Compact"/>
              <w:jc w:val="right"/>
            </w:pPr>
            <w:r>
              <w:t xml:space="preserve">21</w:t>
            </w:r>
          </w:p>
        </w:tc>
        <w:tc>
          <w:tcPr/>
          <w:p>
            <w:pPr>
              <w:pStyle w:val="Compact"/>
              <w:jc w:val="right"/>
            </w:pPr>
            <w:r>
              <w:t xml:space="preserve">+28.6%</w:t>
            </w:r>
          </w:p>
        </w:tc>
      </w:tr>
      <w:tr>
        <w:tc>
          <w:tcPr/>
          <w:p>
            <w:pPr>
              <w:pStyle w:val="Compact"/>
              <w:jc w:val="left"/>
            </w:pPr>
            <w:r>
              <w:t xml:space="preserve">Revenue from Robotics Engineer Services</w:t>
            </w:r>
          </w:p>
        </w:tc>
        <w:tc>
          <w:tcPr/>
          <w:p>
            <w:pPr>
              <w:pStyle w:val="Compact"/>
              <w:jc w:val="right"/>
            </w:pPr>
            <w:r>
              <w:t xml:space="preserve">€4.2M</w:t>
            </w:r>
          </w:p>
        </w:tc>
        <w:tc>
          <w:tcPr/>
          <w:p>
            <w:pPr>
              <w:pStyle w:val="Compact"/>
              <w:jc w:val="right"/>
            </w:pPr>
            <w:r>
              <w:t xml:space="preserve">€3.3M</w:t>
            </w:r>
          </w:p>
        </w:tc>
        <w:tc>
          <w:tcPr/>
          <w:p>
            <w:pPr>
              <w:pStyle w:val="Compact"/>
              <w:jc w:val="right"/>
            </w:pPr>
            <w:r>
              <w:t xml:space="preserve">+27.3%</w:t>
            </w:r>
          </w:p>
        </w:tc>
      </w:tr>
      <w:tr>
        <w:tc>
          <w:tcPr/>
          <w:p>
            <w:pPr>
              <w:pStyle w:val="Compact"/>
              <w:jc w:val="left"/>
            </w:pPr>
            <w:r>
              <w:t xml:space="preserve">Client Retention Rate</w:t>
            </w:r>
          </w:p>
        </w:tc>
        <w:tc>
          <w:tcPr/>
          <w:p>
            <w:pPr>
              <w:pStyle w:val="Compact"/>
              <w:jc w:val="right"/>
            </w:pPr>
            <w:r>
              <w:t xml:space="preserve">92%</w:t>
            </w:r>
          </w:p>
        </w:tc>
        <w:tc>
          <w:tcPr/>
          <w:p>
            <w:pPr>
              <w:pStyle w:val="Compact"/>
              <w:jc w:val="right"/>
            </w:pPr>
            <w:r>
              <w:t xml:space="preserve">87%</w:t>
            </w:r>
          </w:p>
        </w:tc>
        <w:tc>
          <w:tcPr/>
          <w:p>
            <w:pPr>
              <w:pStyle w:val="Compact"/>
              <w:jc w:val="right"/>
            </w:pPr>
            <w:r>
              <w:t xml:space="preserve">+5.7%</w:t>
            </w:r>
          </w:p>
        </w:tc>
      </w:tr>
      <w:tr>
        <w:tc>
          <w:tcPr/>
          <w:p>
            <w:pPr>
              <w:pStyle w:val="Compact"/>
              <w:jc w:val="left"/>
            </w:pPr>
            <w:r>
              <w:t xml:space="preserve">Average Deal Size</w:t>
            </w:r>
          </w:p>
        </w:tc>
        <w:tc>
          <w:tcPr/>
          <w:p>
            <w:pPr>
              <w:pStyle w:val="Compact"/>
              <w:jc w:val="right"/>
            </w:pPr>
            <w:r>
              <w:t xml:space="preserve">€185,000</w:t>
            </w:r>
          </w:p>
        </w:tc>
        <w:tc>
          <w:tcPr/>
          <w:p>
            <w:pPr>
              <w:pStyle w:val="Compact"/>
              <w:jc w:val="right"/>
            </w:pPr>
            <w:r>
              <w:t xml:space="preserve">€162,500</w:t>
            </w:r>
          </w:p>
        </w:tc>
        <w:tc>
          <w:tcPr/>
          <w:p>
            <w:pPr>
              <w:pStyle w:val="Compact"/>
              <w:jc w:val="right"/>
            </w:pPr>
            <w:r>
              <w:t xml:space="preserve">+13.8%</w:t>
            </w:r>
          </w:p>
        </w:tc>
      </w:tr>
    </w:tbl>
    <w:p>
      <w:pPr>
        <w:pStyle w:val="BodyText"/>
      </w:pPr>
      <w:r>
        <w:t xml:space="preserve">Notably, our</w:t>
      </w:r>
      <w:r>
        <w:t xml:space="preserve"> </w:t>
      </w:r>
      <w:r>
        <w:rPr>
          <w:bCs/>
          <w:b/>
        </w:rPr>
        <w:t xml:space="preserve">Robotics Engineer</w:t>
      </w:r>
      <w:r>
        <w:t xml:space="preserve"> </w:t>
      </w:r>
      <w:r>
        <w:t xml:space="preserve">service packages—covering AI integration, autonomous systems design, and robotic process automation (RPA)—account for 76% of total revenue in Belgium Brussels. The strongest verticals are pharmaceutical logistics (34% of sales) and smart city infrastructure projects (29%), with the latter benefiting from Brussels' €50M annual investment in urban robotics initiatives.</w:t>
      </w:r>
    </w:p>
    <w:bookmarkEnd w:id="22"/>
    <w:bookmarkStart w:id="23" w:name="X276933fc095ba06ea7b77e8b73c7c5af53cfbf5"/>
    <w:p>
      <w:pPr>
        <w:pStyle w:val="Heading2"/>
      </w:pPr>
      <w:r>
        <w:t xml:space="preserve">Strategic Insights: Why Belgium Brussels Leads</w:t>
      </w:r>
    </w:p>
    <w:p>
      <w:pPr>
        <w:pStyle w:val="FirstParagraph"/>
      </w:pPr>
      <w:r>
        <w:t xml:space="preserve">The success of our</w:t>
      </w:r>
      <w:r>
        <w:t xml:space="preserve"> </w:t>
      </w:r>
      <w:r>
        <w:rPr>
          <w:bCs/>
          <w:b/>
        </w:rPr>
        <w:t xml:space="preserve">Robotics Engineer</w:t>
      </w:r>
      <w:r>
        <w:t xml:space="preserve"> </w:t>
      </w:r>
      <w:r>
        <w:t xml:space="preserve">sales in Belgium Brussels stems from three distinct advantages:</w:t>
      </w:r>
    </w:p>
    <w:p>
      <w:pPr>
        <w:numPr>
          <w:ilvl w:val="0"/>
          <w:numId w:val="1002"/>
        </w:numPr>
        <w:pStyle w:val="Compact"/>
      </w:pPr>
      <w:r>
        <w:rPr>
          <w:bCs/>
          <w:b/>
        </w:rPr>
        <w:t xml:space="preserve">Policy Alignment:</w:t>
      </w:r>
      <w:r>
        <w:t xml:space="preserve"> </w:t>
      </w:r>
      <w:r>
        <w:t xml:space="preserve">Our engineering solutions directly support the Belgian Federal Government's "National Robotics Plan" which mandates 50% automation adoption in key sectors by 2027. This creates government-backed procurement pipelines.</w:t>
      </w:r>
    </w:p>
    <w:p>
      <w:pPr>
        <w:numPr>
          <w:ilvl w:val="0"/>
          <w:numId w:val="1002"/>
        </w:numPr>
        <w:pStyle w:val="Compact"/>
      </w:pPr>
      <w:r>
        <w:rPr>
          <w:bCs/>
          <w:b/>
        </w:rPr>
        <w:t xml:space="preserve">Talent Ecosystem:</w:t>
      </w:r>
      <w:r>
        <w:t xml:space="preserve"> </w:t>
      </w:r>
      <w:r>
        <w:t xml:space="preserve">Brussels' proximity to top robotics universities (KU Leuven, ULiège) and EU-funded research networks (like the European Robotics Network) ensures a steady talent pipeline for our engineering teams.</w:t>
      </w:r>
    </w:p>
    <w:p>
      <w:pPr>
        <w:numPr>
          <w:ilvl w:val="0"/>
          <w:numId w:val="1002"/>
        </w:numPr>
        <w:pStyle w:val="Compact"/>
      </w:pPr>
      <w:r>
        <w:rPr>
          <w:bCs/>
          <w:b/>
        </w:rPr>
        <w:t xml:space="preserve">Market Differentiation:</w:t>
      </w:r>
      <w:r>
        <w:t xml:space="preserve"> </w:t>
      </w:r>
      <w:r>
        <w:t xml:space="preserve">Unlike competitors focusing on hardware, we emphasize service-based robotics engineering with 360° support—design to deployment to regulatory compliance—addressing Brussels' complex market requirements.</w:t>
      </w:r>
    </w:p>
    <w:bookmarkEnd w:id="23"/>
    <w:bookmarkStart w:id="24" w:name="challenges-mitigation-strategies"/>
    <w:p>
      <w:pPr>
        <w:pStyle w:val="Heading2"/>
      </w:pPr>
      <w:r>
        <w:t xml:space="preserve">Challenges &amp; Mitigation Strategies</w:t>
      </w:r>
    </w:p>
    <w:p>
      <w:pPr>
        <w:pStyle w:val="FirstParagraph"/>
      </w:pPr>
      <w:r>
        <w:t xml:space="preserve">While the outlook is strong, our Sales Report identifies critical challenges requiring targeted action:</w:t>
      </w:r>
    </w:p>
    <w:p>
      <w:pPr>
        <w:numPr>
          <w:ilvl w:val="0"/>
          <w:numId w:val="1003"/>
        </w:numPr>
        <w:pStyle w:val="Compact"/>
      </w:pPr>
      <w:r>
        <w:rPr>
          <w:bCs/>
          <w:b/>
        </w:rPr>
        <w:t xml:space="preserve">Regulatory Fragmentation:</w:t>
      </w:r>
      <w:r>
        <w:t xml:space="preserve"> </w:t>
      </w:r>
      <w:r>
        <w:t xml:space="preserve">Differing EU member-state compliance standards complicate large-scale robotics deployment. *Mitigation:* We've developed a Brussels-based Regulatory Compliance Unit (RCU) staffed with legal experts and robotics engineers to streamline approvals.</w:t>
      </w:r>
    </w:p>
    <w:p>
      <w:pPr>
        <w:numPr>
          <w:ilvl w:val="0"/>
          <w:numId w:val="1003"/>
        </w:numPr>
        <w:pStyle w:val="Compact"/>
      </w:pPr>
      <w:r>
        <w:rPr>
          <w:bCs/>
          <w:b/>
        </w:rPr>
        <w:t xml:space="preserve">Talent Competition:</w:t>
      </w:r>
      <w:r>
        <w:t xml:space="preserve"> </w:t>
      </w:r>
      <w:r>
        <w:t xml:space="preserve">Multinationals aggressively poach Robotics Engineers from local firms. *Mitigation:* Launched our "Brussels Robotics Fellowship" program, partnering with VUB to offer paid internships—resulting in 42% higher retention for our engineers.</w:t>
      </w:r>
    </w:p>
    <w:p>
      <w:pPr>
        <w:numPr>
          <w:ilvl w:val="0"/>
          <w:numId w:val="1003"/>
        </w:numPr>
        <w:pStyle w:val="Compact"/>
      </w:pPr>
      <w:r>
        <w:rPr>
          <w:bCs/>
          <w:b/>
        </w:rPr>
        <w:t xml:space="preserve">Client Budget Cycles:</w:t>
      </w:r>
      <w:r>
        <w:t xml:space="preserve"> </w:t>
      </w:r>
      <w:r>
        <w:t xml:space="preserve">Public sector contracts often have multi-year approval timelines. *Mitigation:* Developed phased engagement models allowing clients to start with pilot projects (€50K–€150K) before full deployment.</w:t>
      </w:r>
    </w:p>
    <w:bookmarkEnd w:id="24"/>
    <w:bookmarkStart w:id="25" w:name="Xdc73d1499a2b846fe699043e957b62696d7e36f"/>
    <w:p>
      <w:pPr>
        <w:pStyle w:val="Heading2"/>
      </w:pPr>
      <w:r>
        <w:t xml:space="preserve">Forward-Looking Opportunities in Belgium Brussels</w:t>
      </w:r>
    </w:p>
    <w:p>
      <w:pPr>
        <w:pStyle w:val="FirstParagraph"/>
      </w:pPr>
      <w:r>
        <w:t xml:space="preserve">Our Sales Report identifies three high-potential growth vectors for Robotics Engineer services in the Brussels market:</w:t>
      </w:r>
    </w:p>
    <w:p>
      <w:pPr>
        <w:numPr>
          <w:ilvl w:val="0"/>
          <w:numId w:val="1004"/>
        </w:numPr>
        <w:pStyle w:val="Compact"/>
      </w:pPr>
      <w:r>
        <w:rPr>
          <w:bCs/>
          <w:b/>
        </w:rPr>
        <w:t xml:space="preserve">Healthcare Robotics Expansion:</w:t>
      </w:r>
      <w:r>
        <w:t xml:space="preserve"> </w:t>
      </w:r>
      <w:r>
        <w:t xml:space="preserve">With EU funding for "Smart Hospitals," we secured a €2.1M contract with UZ Brussel to deploy surgical robotics assistants—a project generating 18 months of engineering service revenue.</w:t>
      </w:r>
    </w:p>
    <w:p>
      <w:pPr>
        <w:numPr>
          <w:ilvl w:val="0"/>
          <w:numId w:val="1004"/>
        </w:numPr>
        <w:pStyle w:val="Compact"/>
      </w:pPr>
      <w:r>
        <w:rPr>
          <w:bCs/>
          <w:b/>
        </w:rPr>
        <w:t xml:space="preserve">Sustainability Integration:</w:t>
      </w:r>
      <w:r>
        <w:t xml:space="preserve"> </w:t>
      </w:r>
      <w:r>
        <w:t xml:space="preserve">Brussels' Climate Pact demands energy-efficient automation. Our eco-robotics engineering package (reducing energy use by 30%) is now a standard offering for all new manufacturing clients.</w:t>
      </w:r>
    </w:p>
    <w:p>
      <w:pPr>
        <w:numPr>
          <w:ilvl w:val="0"/>
          <w:numId w:val="1004"/>
        </w:numPr>
        <w:pStyle w:val="Compact"/>
      </w:pPr>
      <w:r>
        <w:rPr>
          <w:bCs/>
          <w:b/>
        </w:rPr>
        <w:t xml:space="preserve">AI-Marketplace Platform:</w:t>
      </w:r>
      <w:r>
        <w:t xml:space="preserve"> </w:t>
      </w:r>
      <w:r>
        <w:t xml:space="preserve">Partnering with the EU's Digital Innovation Hubs, we're developing a Brussels-based platform to connect SMEs with freelance Robotics Engineers—projected to capture 15% of Belgium's micro-robotics market by 2025.</w:t>
      </w:r>
    </w:p>
    <w:bookmarkEnd w:id="25"/>
    <w:bookmarkStart w:id="26" w:name="conclusion-strategic-imperatives"/>
    <w:p>
      <w:pPr>
        <w:pStyle w:val="Heading2"/>
      </w:pPr>
      <w:r>
        <w:t xml:space="preserve">Conclusion &amp; Strategic Imperatives</w:t>
      </w:r>
    </w:p>
    <w:p>
      <w:pPr>
        <w:pStyle w:val="FirstParagraph"/>
      </w:pPr>
      <w:r>
        <w:t xml:space="preserve">This Sales Report unequivocally confirms Belgium Brussels as a cornerstone of our European robotics engineering strategy. The convergence of policy momentum, industrial need, and talent density has positioned us for sustained leadership in the</w:t>
      </w:r>
      <w:r>
        <w:t xml:space="preserve"> </w:t>
      </w:r>
      <w:r>
        <w:rPr>
          <w:bCs/>
          <w:b/>
        </w:rPr>
        <w:t xml:space="preserve">Robotics Engineer</w:t>
      </w:r>
      <w:r>
        <w:t xml:space="preserve"> </w:t>
      </w:r>
      <w:r>
        <w:t xml:space="preserve">services market. To capitalize on this trajectory, we recommend:</w:t>
      </w:r>
    </w:p>
    <w:p>
      <w:pPr>
        <w:numPr>
          <w:ilvl w:val="0"/>
          <w:numId w:val="1005"/>
        </w:numPr>
        <w:pStyle w:val="Compact"/>
      </w:pPr>
      <w:r>
        <w:rPr>
          <w:bCs/>
          <w:b/>
        </w:rPr>
        <w:t xml:space="preserve">Double Down on Brussels Hub:</w:t>
      </w:r>
      <w:r>
        <w:t xml:space="preserve"> </w:t>
      </w:r>
      <w:r>
        <w:t xml:space="preserve">Allocate 22% of all R&amp;D budget to our Brussels operations by Q1 2024.</w:t>
      </w:r>
    </w:p>
    <w:p>
      <w:pPr>
        <w:numPr>
          <w:ilvl w:val="0"/>
          <w:numId w:val="1005"/>
        </w:numPr>
        <w:pStyle w:val="Compact"/>
      </w:pPr>
      <w:r>
        <w:rPr>
          <w:bCs/>
          <w:b/>
        </w:rPr>
        <w:t xml:space="preserve">Leverage Policy Access:</w:t>
      </w:r>
      <w:r>
        <w:t xml:space="preserve"> </w:t>
      </w:r>
      <w:r>
        <w:t xml:space="preserve">Assign dedicated government relations officers to engage with the EU Commission's AI Office and Belgian Federal Public Service for Industry.</w:t>
      </w:r>
    </w:p>
    <w:p>
      <w:pPr>
        <w:numPr>
          <w:ilvl w:val="0"/>
          <w:numId w:val="1005"/>
        </w:numPr>
        <w:pStyle w:val="Compact"/>
      </w:pPr>
      <w:r>
        <w:rPr>
          <w:bCs/>
          <w:b/>
        </w:rPr>
        <w:t xml:space="preserve">Scale Fellowship Program:</w:t>
      </w:r>
      <w:r>
        <w:t xml:space="preserve"> </w:t>
      </w:r>
      <w:r>
        <w:t xml:space="preserve">Expand Robotics Engineer talent pipeline to 60+ annual graduates by 2025.</w:t>
      </w:r>
    </w:p>
    <w:p>
      <w:pPr>
        <w:pStyle w:val="FirstParagraph"/>
      </w:pPr>
      <w:r>
        <w:t xml:space="preserve">The data is clear: In Belgium Brussels, robotics engineering isn't just a service—it's the catalyst for industrial transformation. Our strategic focus on this market delivers superior margins (48% vs. 39% EU average) and establishes us as the undisputed partner for scalable robotics innovation in Europe's capital. As one client from the Brussels Metro Authority recently noted: "</w:t>
      </w:r>
      <w:r>
        <w:rPr>
          <w:iCs/>
          <w:i/>
        </w:rPr>
        <w:t xml:space="preserve">Your Robotics Engineers didn't just deliver a system—they engineered our future.</w:t>
      </w:r>
      <w:r>
        <w:t xml:space="preserve">" This sentiment, echoed across 148 active projects, defines our market leadership.</w:t>
      </w:r>
    </w:p>
    <w:p>
      <w:pPr>
        <w:pStyle w:val="BodyText"/>
      </w:pPr>
      <w:r>
        <w:t xml:space="preserve">Prepared by Global Robotics Solutions | Belgium Brussels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Belgium Brussels Market</dc:title>
  <dc:creator/>
  <dc:language>en</dc:language>
  <cp:keywords/>
  <dcterms:created xsi:type="dcterms:W3CDTF">2026-07-20T17:53:32Z</dcterms:created>
  <dcterms:modified xsi:type="dcterms:W3CDTF">2026-07-20T17:53:32Z</dcterms:modified>
</cp:coreProperties>
</file>

<file path=docProps/custom.xml><?xml version="1.0" encoding="utf-8"?>
<Properties xmlns="http://schemas.openxmlformats.org/officeDocument/2006/custom-properties" xmlns:vt="http://schemas.openxmlformats.org/officeDocument/2006/docPropsVTypes"/>
</file>