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France</w:t>
      </w:r>
      <w:r>
        <w:t xml:space="preserve"> </w:t>
      </w:r>
      <w:r>
        <w:t xml:space="preserve">Marseille</w:t>
      </w:r>
    </w:p>
    <w:bookmarkStart w:id="27" w:name="Xbafec328da114cd5d5f94dead8d2fe47d08b378"/>
    <w:p>
      <w:pPr>
        <w:pStyle w:val="Heading1"/>
      </w:pPr>
      <w:r>
        <w:t xml:space="preserve">Q3 2024 Sales Performance Report: Robotics Engineering Services Deployment in Marseille, France</w:t>
      </w:r>
    </w:p>
    <w:p>
      <w:pPr>
        <w:pStyle w:val="FirstParagraph"/>
      </w:pPr>
      <w:r>
        <w:rPr>
          <w:bCs/>
          <w:b/>
        </w:rPr>
        <w:t xml:space="preserve">Prepared For:</w:t>
      </w:r>
      <w:r>
        <w:t xml:space="preserve"> </w:t>
      </w:r>
      <w:r>
        <w:t xml:space="preserve">Executive Leadership Team, Global Sales Division</w:t>
      </w:r>
      <w:r>
        <w:br/>
      </w:r>
      <w:r>
        <w:rPr>
          <w:bCs/>
          <w:b/>
        </w:rPr>
        <w:t xml:space="preserve">Date:</w:t>
      </w:r>
      <w:r>
        <w:t xml:space="preserve"> </w:t>
      </w:r>
      <w:r>
        <w:t xml:space="preserve">October 26, 2024</w:t>
      </w:r>
      <w:r>
        <w:br/>
      </w:r>
      <w:r>
        <w:rPr>
          <w:bCs/>
          <w:b/>
        </w:rPr>
        <w:t xml:space="preserve">Region Covered:</w:t>
      </w:r>
      <w:r>
        <w:t xml:space="preserve"> </w:t>
      </w:r>
      <w:r>
        <w:t xml:space="preserve">Marseille Metropolitan Area, France</w:t>
      </w:r>
    </w:p>
    <w:bookmarkStart w:id="20" w:name="executive-summary"/>
    <w:p>
      <w:pPr>
        <w:pStyle w:val="Heading2"/>
      </w:pPr>
      <w:r>
        <w:t xml:space="preserve">Executive Summary</w:t>
      </w:r>
    </w:p>
    <w:p>
      <w:pPr>
        <w:pStyle w:val="FirstParagraph"/>
      </w:pPr>
      <w:r>
        <w:t xml:space="preserve">This report details the Q3 2024 sales performance for Robotics Engineering services across the Marseille metropolitan region. The market for advanced robotics solutions in France is experiencing accelerated growth, with Marseille emerging as a pivotal hub due to its strategic port infrastructure, industrial clusters, and government incentives. Our sales team achieved a 37% year-over-year increase in contracts secured for</w:t>
      </w:r>
      <w:r>
        <w:t xml:space="preserve"> </w:t>
      </w:r>
      <w:r>
        <w:rPr>
          <w:bCs/>
          <w:b/>
        </w:rPr>
        <w:t xml:space="preserve">Robotics Engineer</w:t>
      </w:r>
      <w:r>
        <w:t xml:space="preserve"> </w:t>
      </w:r>
      <w:r>
        <w:t xml:space="preserve">deployments, surpassing regional targets by 15%. This success underscores Marseille's transformation into a critical node for robotics innovation within the broader French market. Key drivers include port automation projects, pharmaceutical manufacturing upgrades, and EU-funded smart-city initiatives.</w:t>
      </w:r>
    </w:p>
    <w:bookmarkEnd w:id="20"/>
    <w:bookmarkStart w:id="21" w:name="X60945022b5a5c75e97a0a48b75f9dc4dbad5692"/>
    <w:p>
      <w:pPr>
        <w:pStyle w:val="Heading2"/>
      </w:pPr>
      <w:r>
        <w:t xml:space="preserve">Market Analysis: France Marseille as a Robotics Nexus</w:t>
      </w:r>
    </w:p>
    <w:p>
      <w:pPr>
        <w:pStyle w:val="FirstParagraph"/>
      </w:pPr>
      <w:r>
        <w:t xml:space="preserve">Marseille is no longer merely France’s second-largest city—it has become a dynamic epicenter for robotics adoption. The region benefits from the Port of Marseille (Europe’s busiest container port), which generated over €50 billion in trade volume in 2023, creating urgent demand for automated logistics solutions. Coupled with the</w:t>
      </w:r>
      <w:r>
        <w:t xml:space="preserve"> </w:t>
      </w:r>
      <w:r>
        <w:rPr>
          <w:iCs/>
          <w:i/>
        </w:rPr>
        <w:t xml:space="preserve">Smart City Marseille</w:t>
      </w:r>
      <w:r>
        <w:t xml:space="preserve"> </w:t>
      </w:r>
      <w:r>
        <w:t xml:space="preserve">initiative—funded by €120M from Horizon Europe—and the presence of institutions like Aix-Marseille University (ranked #1 in France for robotics research), the ecosystem is uniquely fertile. Local industrial zones such as</w:t>
      </w:r>
      <w:r>
        <w:t xml:space="preserve"> </w:t>
      </w:r>
      <w:r>
        <w:rPr>
          <w:iCs/>
          <w:i/>
        </w:rPr>
        <w:t xml:space="preserve">Cité de la Mer</w:t>
      </w:r>
      <w:r>
        <w:t xml:space="preserve"> </w:t>
      </w:r>
      <w:r>
        <w:t xml:space="preserve">and</w:t>
      </w:r>
      <w:r>
        <w:t xml:space="preserve"> </w:t>
      </w:r>
      <w:r>
        <w:rPr>
          <w:iCs/>
          <w:i/>
        </w:rPr>
        <w:t xml:space="preserve">Parc Technologique de Luminy</w:t>
      </w:r>
      <w:r>
        <w:t xml:space="preserve"> </w:t>
      </w:r>
      <w:r>
        <w:t xml:space="preserve">house 37 robotics-focused companies, including CMA CGM’s autonomous container terminal pilot and Sanofi’s AI-driven pharmaceutical assembly lines. This concentration of demand makes Marseille the most strategic location for scaling</w:t>
      </w:r>
      <w:r>
        <w:t xml:space="preserve"> </w:t>
      </w:r>
      <w:r>
        <w:rPr>
          <w:bCs/>
          <w:b/>
        </w:rPr>
        <w:t xml:space="preserve">Robotics Engineer</w:t>
      </w:r>
      <w:r>
        <w:t xml:space="preserve"> </w:t>
      </w:r>
      <w:r>
        <w:t xml:space="preserve">services across France.</w:t>
      </w:r>
    </w:p>
    <w:bookmarkEnd w:id="21"/>
    <w:bookmarkStart w:id="22" w:name="sales-performance-breakdown-q3-2024"/>
    <w:p>
      <w:pPr>
        <w:pStyle w:val="Heading2"/>
      </w:pPr>
      <w:r>
        <w:t xml:space="preserve">Sales Performance Breakdown: Q3 2024</w:t>
      </w:r>
    </w:p>
    <w:p>
      <w:pPr>
        <w:pStyle w:val="FirstParagraph"/>
      </w:pPr>
      <w:r>
        <w:t xml:space="preserve">Client Sector</w:t>
      </w:r>
    </w:p>
    <w:p>
      <w:pPr>
        <w:pStyle w:val="BodyText"/>
      </w:pPr>
      <w:r>
        <w:t xml:space="preserve">Number of Contracts</w:t>
      </w:r>
    </w:p>
    <w:p>
      <w:pPr>
        <w:pStyle w:val="BodyText"/>
      </w:pPr>
      <w:r>
        <w:t xml:space="preserve">Revenue Generated (€)</w:t>
      </w:r>
    </w:p>
    <w:p>
      <w:pPr>
        <w:pStyle w:val="BodyText"/>
      </w:pPr>
      <w:r>
        <w:t xml:space="preserve">% YoY Growth</w:t>
      </w:r>
    </w:p>
    <w:p>
      <w:pPr>
        <w:pStyle w:val="BodyText"/>
      </w:pPr>
      <w:r>
        <w:t xml:space="preserve">Port &amp; Logistics Automation</w:t>
      </w:r>
    </w:p>
    <w:p>
      <w:pPr>
        <w:pStyle w:val="BodyText"/>
      </w:pPr>
      <w:r>
        <w:t xml:space="preserve">18</w:t>
      </w:r>
    </w:p>
    <w:p>
      <w:pPr>
        <w:pStyle w:val="BodyText"/>
      </w:pPr>
      <w:r>
        <w:t xml:space="preserve">€4.2M</w:t>
      </w:r>
    </w:p>
    <w:p>
      <w:pPr>
        <w:pStyle w:val="BodyText"/>
      </w:pPr>
      <w:r>
        <w:t xml:space="preserve">+52%</w:t>
      </w:r>
    </w:p>
    <w:p>
      <w:pPr>
        <w:pStyle w:val="BodyText"/>
      </w:pPr>
      <w:r>
        <w:t xml:space="preserve">Pharmaceutical Manufacturing</w:t>
      </w:r>
    </w:p>
    <w:p>
      <w:pPr>
        <w:pStyle w:val="BodyText"/>
      </w:pPr>
      <w:r>
        <w:t xml:space="preserve">12</w:t>
      </w:r>
    </w:p>
    <w:p>
      <w:pPr>
        <w:pStyle w:val="BodyText"/>
      </w:pPr>
      <w:r>
        <w:t xml:space="preserve">€3.8M</w:t>
      </w:r>
    </w:p>
    <w:p>
      <w:pPr>
        <w:pStyle w:val="BodyText"/>
      </w:pPr>
      <w:r>
        <w:t xml:space="preserve">Total Marseille Region</w:t>
      </w:r>
    </w:p>
    <w:p>
      <w:pPr>
        <w:pStyle w:val="BodyText"/>
      </w:pPr>
      <w:r>
        <w:t xml:space="preserve">30</w:t>
      </w:r>
    </w:p>
    <w:p>
      <w:pPr>
        <w:pStyle w:val="BodyText"/>
      </w:pPr>
      <w:r>
        <w:t xml:space="preserve">€8.0M</w:t>
      </w:r>
    </w:p>
    <w:p>
      <w:pPr>
        <w:pStyle w:val="BodyText"/>
      </w:pPr>
      <w:r>
        <w:t xml:space="preserve">+37%</w:t>
      </w:r>
    </w:p>
    <w:p>
      <w:pPr>
        <w:pStyle w:val="BodyText"/>
      </w:pPr>
      <w:r>
        <w:t xml:space="preserve">The Port of Marseille accounted for 52% of revenue, driven by our flagship project: deploying 21 autonomous guided vehicles (AGVs) and AI-powered inventory systems at Terminal C in collaboration with STX France. Key wins included a €1.7M contract with Orange Marine for underwater drone maintenance robotics, leveraging Marseille’s coastal access. In pharmaceuticals, we secured contracts with Sanofi’s Marseille facility to integrate collaborative robots (cobots) into sterile packaging lines—reducing human error by 28% in pilot phases.</w:t>
      </w:r>
    </w:p>
    <w:bookmarkEnd w:id="22"/>
    <w:bookmarkStart w:id="23" w:name="X163276669358152f3a28edd37c73a911d532dc7"/>
    <w:p>
      <w:pPr>
        <w:pStyle w:val="Heading2"/>
      </w:pPr>
      <w:r>
        <w:t xml:space="preserve">Key Sales Strategies Driving Success in France Marseille</w:t>
      </w:r>
    </w:p>
    <w:p>
      <w:pPr>
        <w:numPr>
          <w:ilvl w:val="0"/>
          <w:numId w:val="1001"/>
        </w:numPr>
        <w:pStyle w:val="Compact"/>
      </w:pPr>
      <w:r>
        <w:rPr>
          <w:bCs/>
          <w:b/>
        </w:rPr>
        <w:t xml:space="preserve">Hyper-Local Talent Integration:</w:t>
      </w:r>
      <w:r>
        <w:t xml:space="preserve"> </w:t>
      </w:r>
      <w:r>
        <w:t xml:space="preserve">Our Marseille-based sales team (led by Sophie Laurent, a Robotics Engineer with 12 years’ port automation experience) embedded directly within the CMA CGM innovation hub. This allowed us to co-design solutions for terminal-specific challenges (e.g., dust-resistant robotics for container handling), shortening sales cycles by 30%.</w:t>
      </w:r>
    </w:p>
    <w:p>
      <w:pPr>
        <w:numPr>
          <w:ilvl w:val="0"/>
          <w:numId w:val="1001"/>
        </w:numPr>
        <w:pStyle w:val="Compact"/>
      </w:pPr>
      <w:r>
        <w:rPr>
          <w:bCs/>
          <w:b/>
        </w:rPr>
        <w:t xml:space="preserve">EU Funding Synergy:</w:t>
      </w:r>
      <w:r>
        <w:t xml:space="preserve"> </w:t>
      </w:r>
      <w:r>
        <w:t xml:space="preserve">We aligned all proposals with France’s</w:t>
      </w:r>
      <w:r>
        <w:t xml:space="preserve"> </w:t>
      </w:r>
      <w:r>
        <w:rPr>
          <w:iCs/>
          <w:i/>
        </w:rPr>
        <w:t xml:space="preserve">National Robotics Strategy 2030</w:t>
      </w:r>
      <w:r>
        <w:t xml:space="preserve">, helping clients access up to 50% cost coverage via regional grants (e.g., the "Marseille Smart Port Fund"). This removed budget objections for 89% of new deals.</w:t>
      </w:r>
    </w:p>
    <w:p>
      <w:pPr>
        <w:numPr>
          <w:ilvl w:val="0"/>
          <w:numId w:val="1001"/>
        </w:numPr>
        <w:pStyle w:val="Compact"/>
      </w:pPr>
      <w:r>
        <w:rPr>
          <w:bCs/>
          <w:b/>
        </w:rPr>
        <w:t xml:space="preserve">Proof-of-Concept Focus:</w:t>
      </w:r>
      <w:r>
        <w:t xml:space="preserve"> </w:t>
      </w:r>
      <w:r>
        <w:t xml:space="preserve">Deploying pilot robotics modules at Marseille’s</w:t>
      </w:r>
      <w:r>
        <w:t xml:space="preserve"> </w:t>
      </w:r>
      <w:r>
        <w:rPr>
          <w:iCs/>
          <w:i/>
        </w:rPr>
        <w:t xml:space="preserve">Luminy Tech Park</w:t>
      </w:r>
      <w:r>
        <w:t xml:space="preserve"> </w:t>
      </w:r>
      <w:r>
        <w:t xml:space="preserve">enabled clients to validate ROI before full-scale contracts. For example, a local food logistics firm saw a 22% throughput increase in a 4-week test—securing their €1.1M contract.</w:t>
      </w:r>
    </w:p>
    <w:bookmarkEnd w:id="23"/>
    <w:bookmarkStart w:id="24" w:name="X145ea1da4e32f2c3087e346fb9c0689f0bafdd4"/>
    <w:p>
      <w:pPr>
        <w:pStyle w:val="Heading2"/>
      </w:pPr>
      <w:r>
        <w:t xml:space="preserve">Challenges &amp; Mitigation in the Marseille Market</w:t>
      </w:r>
    </w:p>
    <w:p>
      <w:pPr>
        <w:pStyle w:val="FirstParagraph"/>
      </w:pPr>
      <w:r>
        <w:t xml:space="preserve">Despite strong growth, two challenges required agile countermeasures:</w:t>
      </w:r>
    </w:p>
    <w:p>
      <w:pPr>
        <w:numPr>
          <w:ilvl w:val="0"/>
          <w:numId w:val="1002"/>
        </w:numPr>
        <w:pStyle w:val="Compact"/>
      </w:pPr>
      <w:r>
        <w:rPr>
          <w:bCs/>
          <w:b/>
        </w:rPr>
        <w:t xml:space="preserve">Talent Shortage for Robotics Engineers:</w:t>
      </w:r>
      <w:r>
        <w:t xml:space="preserve"> </w:t>
      </w:r>
      <w:r>
        <w:t xml:space="preserve">Marseille faces a 40% deficit in certified robotics engineers (per 2024 INSEE data). We partnered with Aix-Marseille University to establish a paid internship program, fast-tracking 15 engineers into client projects within Q3. This reduced our recruitment time by 65%.</w:t>
      </w:r>
    </w:p>
    <w:p>
      <w:pPr>
        <w:numPr>
          <w:ilvl w:val="0"/>
          <w:numId w:val="1002"/>
        </w:numPr>
        <w:pStyle w:val="Compact"/>
      </w:pPr>
      <w:r>
        <w:rPr>
          <w:bCs/>
          <w:b/>
        </w:rPr>
        <w:t xml:space="preserve">Regulatory Fragmentation:</w:t>
      </w:r>
      <w:r>
        <w:t xml:space="preserve"> </w:t>
      </w:r>
      <w:r>
        <w:t xml:space="preserve">French industrial robotics regulations (e.g., NF EN ISO 13849) vary by municipality. Our in-house compliance team, based at the Marseille Chamber of Commerce, ensured all deployments met local norms—avoiding 7+ potential project delays.</w:t>
      </w:r>
    </w:p>
    <w:bookmarkEnd w:id="24"/>
    <w:bookmarkStart w:id="25" w:name="X02b8825cf8cfe1c8e3560c3f1e05a3e7ff67432"/>
    <w:p>
      <w:pPr>
        <w:pStyle w:val="Heading2"/>
      </w:pPr>
      <w:r>
        <w:t xml:space="preserve">Strategic Recommendations for Q4 2024 &amp; Beyond</w:t>
      </w:r>
    </w:p>
    <w:p>
      <w:pPr>
        <w:pStyle w:val="FirstParagraph"/>
      </w:pPr>
      <w:r>
        <w:t xml:space="preserve">To cement Marseille’s leadership in robotics sales across France, we propose:</w:t>
      </w:r>
    </w:p>
    <w:p>
      <w:pPr>
        <w:numPr>
          <w:ilvl w:val="0"/>
          <w:numId w:val="1003"/>
        </w:numPr>
        <w:pStyle w:val="Compact"/>
      </w:pPr>
      <w:r>
        <w:rPr>
          <w:bCs/>
          <w:b/>
        </w:rPr>
        <w:t xml:space="preserve">Expand the Robotics Engineer Co-Location Model:</w:t>
      </w:r>
      <w:r>
        <w:t xml:space="preserve"> </w:t>
      </w:r>
      <w:r>
        <w:t xml:space="preserve">Open a permanent innovation lab at Parc Technologique de Luminy, housing 10+ dedicated Robotics Engineers. This will reduce client onboarding time from 12 to 5 weeks.</w:t>
      </w:r>
    </w:p>
    <w:p>
      <w:pPr>
        <w:numPr>
          <w:ilvl w:val="0"/>
          <w:numId w:val="1003"/>
        </w:numPr>
        <w:pStyle w:val="Compact"/>
      </w:pPr>
      <w:r>
        <w:rPr>
          <w:bCs/>
          <w:b/>
        </w:rPr>
        <w:t xml:space="preserve">Leverage Marseille’s Port Advantage:</w:t>
      </w:r>
      <w:r>
        <w:t xml:space="preserve"> </w:t>
      </w:r>
      <w:r>
        <w:t xml:space="preserve">Target global logistics firms using the port (e.g., Maersk, MSC) with “Port-to-Port Automation” packages—tying robotics sales to their transshipment volumes.</w:t>
      </w:r>
    </w:p>
    <w:p>
      <w:pPr>
        <w:numPr>
          <w:ilvl w:val="0"/>
          <w:numId w:val="1003"/>
        </w:numPr>
        <w:pStyle w:val="Compact"/>
      </w:pPr>
      <w:r>
        <w:rPr>
          <w:bCs/>
          <w:b/>
        </w:rPr>
        <w:t xml:space="preserve">Develop a French-Speaking Robotics Engineer Talent Pipeline:</w:t>
      </w:r>
      <w:r>
        <w:t xml:space="preserve"> </w:t>
      </w:r>
      <w:r>
        <w:t xml:space="preserve">Partner with Marseille’s 5 technical schools (including ISEN Toulon) to create a certified certification program, addressing the regional skills gap while building brand authority.</w:t>
      </w:r>
    </w:p>
    <w:bookmarkEnd w:id="25"/>
    <w:bookmarkStart w:id="26" w:name="conclusion"/>
    <w:p>
      <w:pPr>
        <w:pStyle w:val="Heading2"/>
      </w:pPr>
      <w:r>
        <w:t xml:space="preserve">Conclusion</w:t>
      </w:r>
    </w:p>
    <w:p>
      <w:pPr>
        <w:pStyle w:val="FirstParagraph"/>
      </w:pPr>
      <w:r>
        <w:t xml:space="preserve">The Marseille region is not just a market for robotics—it’s where the future of French industrial automation is being built. Our 37% YoY sales growth in Q3 proves that strategic alignment with Marseille’s unique ecosystem (port infrastructure, EU funding, academic partnerships) delivers outsized returns. As the city positions itself as Europe’s robotics gateway,</w:t>
      </w:r>
      <w:r>
        <w:t xml:space="preserve"> </w:t>
      </w:r>
      <w:r>
        <w:rPr>
          <w:bCs/>
          <w:b/>
        </w:rPr>
        <w:t xml:space="preserve">Robotics Engineer</w:t>
      </w:r>
      <w:r>
        <w:t xml:space="preserve"> </w:t>
      </w:r>
      <w:r>
        <w:t xml:space="preserve">talent and solutions will be central to capturing France’s €12B+ industrial automation market. We recommend doubling down on Marseille: it is where we win the race for France’s robotics future.</w:t>
      </w:r>
    </w:p>
    <w:p>
      <w:pPr>
        <w:pStyle w:val="BodyText"/>
      </w:pPr>
      <w:r>
        <w:rPr>
          <w:iCs/>
          <w:i/>
        </w:rPr>
        <w:t xml:space="preserve">"Marseille isn’t just growing—it’s leading the robotic revolution in Southern Europe. Our clients don’t just buy technology; they invest in a partnership that transforms their operations within France's most dynamic industrial hub." – Sophie Laurent, Regional Sales Director (Marseille), Robotics Engineering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Robotics Engineering Talent &amp; Market Expansion in France Marseille</dc:title>
  <dc:creator/>
  <dc:language>en</dc:language>
  <cp:keywords/>
  <dcterms:created xsi:type="dcterms:W3CDTF">2025-12-13T06:03:59Z</dcterms:created>
  <dcterms:modified xsi:type="dcterms:W3CDTF">2025-12-13T06:03:59Z</dcterms:modified>
</cp:coreProperties>
</file>

<file path=docProps/custom.xml><?xml version="1.0" encoding="utf-8"?>
<Properties xmlns="http://schemas.openxmlformats.org/officeDocument/2006/custom-properties" xmlns:vt="http://schemas.openxmlformats.org/officeDocument/2006/docPropsVTypes"/>
</file>