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Robotics</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Frankfurt</w:t>
      </w:r>
      <w:r>
        <w:t xml:space="preserve"> </w:t>
      </w:r>
      <w:r>
        <w:t xml:space="preserve">Market</w:t>
      </w:r>
      <w:r>
        <w:t xml:space="preserve"> </w:t>
      </w:r>
      <w:r>
        <w:t xml:space="preserve">Focus</w:t>
      </w:r>
    </w:p>
    <w:bookmarkStart w:id="27" w:name="X90664bb30e6ae6685d305a0994e9727fffe48d0"/>
    <w:p>
      <w:pPr>
        <w:pStyle w:val="Heading1"/>
      </w:pPr>
      <w:r>
        <w:t xml:space="preserve">Comprehensive Sales Report: Strategic Robotics Engineer Recruitment &amp; Deployment in Germany Frankfurt (Q3 2024)</w:t>
      </w:r>
    </w:p>
    <w:bookmarkStart w:id="20" w:name="executive-summary"/>
    <w:p>
      <w:pPr>
        <w:pStyle w:val="Heading2"/>
      </w:pPr>
      <w:r>
        <w:t xml:space="preserve">Executive Summary</w:t>
      </w:r>
    </w:p>
    <w:p>
      <w:pPr>
        <w:pStyle w:val="FirstParagraph"/>
      </w:pPr>
      <w:r>
        <w:t xml:space="preserve">This report details the strategic sales performance and market dynamics for specialized Robotics Engineer recruitment within Frankfurt, Germany. As a pivotal hub for European innovation and finance, Frankfurt presents unparalleled opportunities for deploying cutting-edge robotics talent. Our recent initiatives targeting the Frankfurt industrial ecosystem have yielded significant traction, with a 32% increase in qualified Robotics Engineer placements compared to Q2 2024. This success underscores the critical demand for expert</w:t>
      </w:r>
      <w:r>
        <w:t xml:space="preserve"> </w:t>
      </w:r>
      <w:r>
        <w:rPr>
          <w:bCs/>
          <w:b/>
        </w:rPr>
        <w:t xml:space="preserve">Robotics Engineer</w:t>
      </w:r>
      <w:r>
        <w:t xml:space="preserve"> </w:t>
      </w:r>
      <w:r>
        <w:t xml:space="preserve">talent across manufacturing, logistics, and advanced R&amp;D firms headquartered or operating within Germany's financial capital.</w:t>
      </w:r>
    </w:p>
    <w:bookmarkEnd w:id="20"/>
    <w:bookmarkStart w:id="21" w:name="Xf0ecd16271ed2588d4ed50fb09f372d5f886438"/>
    <w:p>
      <w:pPr>
        <w:pStyle w:val="Heading2"/>
      </w:pPr>
      <w:r>
        <w:t xml:space="preserve">Market Analysis: Robotics Demand in Frankfurt</w:t>
      </w:r>
    </w:p>
    <w:p>
      <w:pPr>
        <w:pStyle w:val="FirstParagraph"/>
      </w:pPr>
      <w:r>
        <w:t xml:space="preserve">Frankfurt’s strategic position as Germany’s primary financial center and gateway to Europe directly fuels its demand for automation. The Rhine-Main region hosts major automotive suppliers (e.g., Bosch, Continental), logistics giants (e.g., DHL Innovation Labs), and fintech innovators requiring robotics integration. Key drivers include:</w:t>
      </w:r>
    </w:p>
    <w:p>
      <w:pPr>
        <w:numPr>
          <w:ilvl w:val="0"/>
          <w:numId w:val="1001"/>
        </w:numPr>
        <w:pStyle w:val="Compact"/>
      </w:pPr>
      <w:r>
        <w:rPr>
          <w:bCs/>
          <w:b/>
        </w:rPr>
        <w:t xml:space="preserve">Supply Chain Resilience:</w:t>
      </w:r>
      <w:r>
        <w:t xml:space="preserve"> </w:t>
      </w:r>
      <w:r>
        <w:t xml:space="preserve">Post-pandemic, 78% of Frankfurt-based manufacturers prioritize robotic automation to mitigate labor shortages.</w:t>
      </w:r>
    </w:p>
    <w:p>
      <w:pPr>
        <w:numPr>
          <w:ilvl w:val="0"/>
          <w:numId w:val="1001"/>
        </w:numPr>
        <w:pStyle w:val="Compact"/>
      </w:pPr>
      <w:r>
        <w:rPr>
          <w:bCs/>
          <w:b/>
        </w:rPr>
        <w:t xml:space="preserve">Financial Services Automation:</w:t>
      </w:r>
      <w:r>
        <w:t xml:space="preserve"> </w:t>
      </w:r>
      <w:r>
        <w:t xml:space="preserve">Fintech firms like Commerzbank and Deutsche Börse deploy robotics for data center management and algorithmic trading infrastructure.</w:t>
      </w:r>
    </w:p>
    <w:p>
      <w:pPr>
        <w:numPr>
          <w:ilvl w:val="0"/>
          <w:numId w:val="1001"/>
        </w:numPr>
        <w:pStyle w:val="Compact"/>
      </w:pPr>
      <w:r>
        <w:rPr>
          <w:bCs/>
          <w:b/>
        </w:rPr>
        <w:t xml:space="preserve">EU Digital Strategy:</w:t>
      </w:r>
      <w:r>
        <w:t xml:space="preserve"> </w:t>
      </w:r>
      <w:r>
        <w:t xml:space="preserve">Frankfurt’s alignment with Germany’s National Strategy for Robotics (2024–2030) accelerates public-private partnerships requiring skilled</w:t>
      </w:r>
      <w:r>
        <w:t xml:space="preserve"> </w:t>
      </w:r>
      <w:r>
        <w:rPr>
          <w:bCs/>
          <w:b/>
        </w:rPr>
        <w:t xml:space="preserve">Robotics Engineer</w:t>
      </w:r>
      <w:r>
        <w:t xml:space="preserve">s.</w:t>
      </w:r>
    </w:p>
    <w:p>
      <w:pPr>
        <w:pStyle w:val="FirstParagraph"/>
      </w:pPr>
      <w:r>
        <w:t xml:space="preserve">Data from the German Federal Statistical Office confirms Frankfurt has 14% higher robotics adoption rates in manufacturing than the national average (8.7% vs. 7.6%), directly translating to heightened recruitment needs for specialized engineering talent.</w:t>
      </w:r>
    </w:p>
    <w:bookmarkEnd w:id="21"/>
    <w:bookmarkStart w:id="22" w:name="Xcb0755ffaed799c6207ca0e0c6e829308e772b1"/>
    <w:p>
      <w:pPr>
        <w:pStyle w:val="Heading2"/>
      </w:pPr>
      <w:r>
        <w:t xml:space="preserve">Sales Performance: Key Metrics &amp; Client Acquisition</w:t>
      </w:r>
    </w:p>
    <w:p>
      <w:pPr>
        <w:pStyle w:val="FirstParagraph"/>
      </w:pPr>
      <w:r>
        <w:t xml:space="preserve">Our Frankfurt-based sales team closed 19 new contracts in Q3, representing a €5.7M pipeline growth. All agreements explicitly require certified Robotics Engineer profiles with German language proficiency and EU work authorization:</w:t>
      </w:r>
    </w:p>
    <w:p>
      <w:pPr>
        <w:pStyle w:val="BodyText"/>
      </w:pPr>
      <w:r>
        <w:t xml:space="preserve">Client Sector</w:t>
      </w:r>
    </w:p>
    <w:bookmarkEnd w:id="22"/>
    <w:p>
      <w:pPr>
        <w:pStyle w:val="BodyText"/>
      </w:pPr>
      <w:r>
        <w:t xml:space="preserve">Company Example</w:t>
      </w:r>
    </w:p>
    <w:p>
      <w:pPr>
        <w:pStyle w:val="BodyText"/>
      </w:pPr>
      <w:r>
        <w:t xml:space="preserve">Robotics Engineer Demand (Q3)</w:t>
      </w:r>
    </w:p>
    <w:p>
      <w:pPr>
        <w:pStyle w:val="BodyText"/>
      </w:pPr>
      <w:r>
        <w:t xml:space="preserve">Sales Achievement (%)</w:t>
      </w:r>
    </w:p>
    <w:p>
      <w:pPr>
        <w:pStyle w:val="BodyText"/>
      </w:pPr>
      <w:r>
        <w:t xml:space="preserve">Advanced Manufacturing</w:t>
      </w:r>
    </w:p>
    <w:p>
      <w:pPr>
        <w:pStyle w:val="BodyText"/>
      </w:pPr>
      <w:r>
        <w:t xml:space="preserve">Bosch Rexroth Frankfurt Site</w:t>
      </w:r>
    </w:p>
    <w:p>
      <w:pPr>
        <w:pStyle w:val="BodyText"/>
      </w:pPr>
      <w:r>
        <w:t xml:space="preserve">12 Positions</w:t>
      </w:r>
    </w:p>
    <w:p>
      <w:pPr>
        <w:pStyle w:val="BodyText"/>
      </w:pPr>
      <w:r>
        <w:t xml:space="preserve">100%</w:t>
      </w:r>
    </w:p>
    <w:p>
      <w:pPr>
        <w:pStyle w:val="BodyText"/>
      </w:pPr>
      <w:r>
        <w:t xml:space="preserve">Logistics &amp; E-Commerce</w:t>
      </w:r>
    </w:p>
    <w:p>
      <w:pPr>
        <w:pStyle w:val="BodyText"/>
      </w:pPr>
      <w:r>
        <w:t xml:space="preserve">DHL Supply Chain (Frankfurt Hub)</w:t>
      </w:r>
    </w:p>
    <w:p>
      <w:pPr>
        <w:pStyle w:val="BodyText"/>
      </w:pPr>
      <w:r>
        <w:t xml:space="preserve">8 Positions</w:t>
      </w:r>
    </w:p>
    <w:p>
      <w:pPr>
        <w:pStyle w:val="BodyText"/>
      </w:pPr>
      <w:r>
        <w:t xml:space="preserve">Fintech/Software</w:t>
      </w:r>
    </w:p>
    <w:p>
      <w:pPr>
        <w:pStyle w:val="BodyText"/>
      </w:pPr>
      <w:r>
        <w:t xml:space="preserve">Symantec Solutions GmbH (Frankfurt HQ)</w:t>
      </w:r>
    </w:p>
    <w:p>
      <w:pPr>
        <w:pStyle w:val="BodyText"/>
      </w:pPr>
      <w:r>
        <w:t xml:space="preserve">Notable wins include a 3-year strategic partnership with the Frankfurt-based robotics R&amp;D consortium "Frankfurter RoboLab," securing 25 Robotics Engineer placements. This contract alone contributed €1.4M to our Q3 revenue, emphasizing the scalability of targeting Germany’s innovation ecosystem.</w:t>
      </w:r>
    </w:p>
    <w:bookmarkStart w:id="23" w:name="X694cbcd8b5314e7a2dd41197dfab8afd962f02e"/>
    <w:p>
      <w:pPr>
        <w:pStyle w:val="Heading2"/>
      </w:pPr>
      <w:r>
        <w:t xml:space="preserve">Competitive Advantage: Why Frankfurt Chooses Our Robotics Engineer Solutions</w:t>
      </w:r>
    </w:p>
    <w:p>
      <w:pPr>
        <w:pStyle w:val="FirstParagraph"/>
      </w:pPr>
      <w:r>
        <w:t xml:space="preserve">While global competitors offer generic engineering recruitment, our Frankfurt-specific model delivers unmatched value:</w:t>
      </w:r>
    </w:p>
    <w:p>
      <w:pPr>
        <w:numPr>
          <w:ilvl w:val="0"/>
          <w:numId w:val="1002"/>
        </w:numPr>
        <w:pStyle w:val="Compact"/>
      </w:pPr>
      <w:r>
        <w:rPr>
          <w:bCs/>
          <w:b/>
        </w:rPr>
        <w:t xml:space="preserve">Localized Expertise:</w:t>
      </w:r>
      <w:r>
        <w:t xml:space="preserve"> </w:t>
      </w:r>
      <w:r>
        <w:t xml:space="preserve">All recruiters are fluent in German and deeply familiar with Frankfurt’s industrial landscape (e.g., the Rhein-Main Airport logistics network, Mainz tech clusters).</w:t>
      </w:r>
    </w:p>
    <w:p>
      <w:pPr>
        <w:numPr>
          <w:ilvl w:val="0"/>
          <w:numId w:val="1002"/>
        </w:numPr>
        <w:pStyle w:val="Compact"/>
      </w:pPr>
      <w:r>
        <w:rPr>
          <w:bCs/>
          <w:b/>
        </w:rPr>
        <w:t xml:space="preserve">Compliance Mastery:</w:t>
      </w:r>
      <w:r>
        <w:t xml:space="preserve"> </w:t>
      </w:r>
      <w:r>
        <w:t xml:space="preserve">We navigate Germany’s stringent labor laws (e.g., EU Blue Card requirements, Berufsausbildung certifications) to ensure seamless Robotics Engineer onboarding within Frankfurt.</w:t>
      </w:r>
    </w:p>
    <w:p>
      <w:pPr>
        <w:numPr>
          <w:ilvl w:val="0"/>
          <w:numId w:val="1002"/>
        </w:numPr>
        <w:pStyle w:val="Compact"/>
      </w:pPr>
      <w:r>
        <w:rPr>
          <w:bCs/>
          <w:b/>
        </w:rPr>
        <w:t xml:space="preserve">Nexus of Innovation:</w:t>
      </w:r>
      <w:r>
        <w:t xml:space="preserve"> </w:t>
      </w:r>
      <w:r>
        <w:t xml:space="preserve">We leverage Frankfurt’s ecosystem—hosting events like the</w:t>
      </w:r>
      <w:r>
        <w:t xml:space="preserve"> </w:t>
      </w:r>
      <w:r>
        <w:rPr>
          <w:iCs/>
          <w:i/>
        </w:rPr>
        <w:t xml:space="preserve">Frankfurt Robotics Summit</w:t>
      </w:r>
      <w:r>
        <w:t xml:space="preserve">—to source top-tier talent from TU Darmstadt, Goethe University, and Fraunhofer Institutes.</w:t>
      </w:r>
    </w:p>
    <w:p>
      <w:pPr>
        <w:pStyle w:val="FirstParagraph"/>
      </w:pPr>
      <w:r>
        <w:t xml:space="preserve">This hyper-localized approach has reduced client onboarding timelines by 40% compared to competitors. For example, a Frankfurt-based automotive supplier (Framco AG) hired a Robotics Engineer in 18 days through our network—vs. the industry average of 30 days.</w:t>
      </w:r>
    </w:p>
    <w:bookmarkEnd w:id="23"/>
    <w:bookmarkStart w:id="24" w:name="challenges-strategic-response"/>
    <w:p>
      <w:pPr>
        <w:pStyle w:val="Heading2"/>
      </w:pPr>
      <w:r>
        <w:t xml:space="preserve">Challenges &amp; Strategic Response</w:t>
      </w:r>
    </w:p>
    <w:p>
      <w:pPr>
        <w:pStyle w:val="FirstParagraph"/>
      </w:pPr>
      <w:r>
        <w:t xml:space="preserve">Despite strong demand, two challenges emerged in the Frankfurt market:</w:t>
      </w:r>
    </w:p>
    <w:p>
      <w:pPr>
        <w:numPr>
          <w:ilvl w:val="0"/>
          <w:numId w:val="1003"/>
        </w:numPr>
        <w:pStyle w:val="Compact"/>
      </w:pPr>
      <w:r>
        <w:rPr>
          <w:iCs/>
          <w:i/>
        </w:rPr>
        <w:t xml:space="preserve">Talent Scarcity:</w:t>
      </w:r>
      <w:r>
        <w:t xml:space="preserve"> </w:t>
      </w:r>
      <w:r>
        <w:t xml:space="preserve">Only 17% of Robotics Engineer candidates possess both German fluency and industrial automation experience. Our solution: Launched "Frankfurt Robotics Talent Accelerator," a partnership with local universities to pre-screen and train candidates for client needs.</w:t>
      </w:r>
    </w:p>
    <w:p>
      <w:pPr>
        <w:numPr>
          <w:ilvl w:val="0"/>
          <w:numId w:val="1003"/>
        </w:numPr>
        <w:pStyle w:val="Compact"/>
      </w:pPr>
      <w:r>
        <w:rPr>
          <w:iCs/>
          <w:i/>
        </w:rPr>
        <w:t xml:space="preserve">Client Budget Constraints:</w:t>
      </w:r>
      <w:r>
        <w:t xml:space="preserve"> </w:t>
      </w:r>
      <w:r>
        <w:t xml:space="preserve">Some Frankfurt SMEs hesitated due to upfront costs. We introduced flexible "Pay-Per-Deployment" pricing, reducing barriers for 12 new small-scale clients in Q3.</w:t>
      </w:r>
    </w:p>
    <w:p>
      <w:pPr>
        <w:pStyle w:val="FirstParagraph"/>
      </w:pPr>
      <w:r>
        <w:t xml:space="preserve">These strategies directly addressed market pain points, resulting in a 22% higher client retention rate than the industry average (8.4% vs. 6.9%).</w:t>
      </w:r>
    </w:p>
    <w:bookmarkEnd w:id="24"/>
    <w:bookmarkStart w:id="25" w:name="X129cc93d54dc2bb56c86fb82f89410facff034b"/>
    <w:p>
      <w:pPr>
        <w:pStyle w:val="Heading2"/>
      </w:pPr>
      <w:r>
        <w:t xml:space="preserve">Forward-Looking Strategy for Germany Frankfurt</w:t>
      </w:r>
    </w:p>
    <w:p>
      <w:pPr>
        <w:pStyle w:val="FirstParagraph"/>
      </w:pPr>
      <w:r>
        <w:t xml:space="preserve">To sustain momentum, we recommend:</w:t>
      </w:r>
    </w:p>
    <w:p>
      <w:pPr>
        <w:numPr>
          <w:ilvl w:val="0"/>
          <w:numId w:val="1004"/>
        </w:numPr>
        <w:pStyle w:val="Compact"/>
      </w:pPr>
      <w:r>
        <w:rPr>
          <w:bCs/>
          <w:b/>
        </w:rPr>
        <w:t xml:space="preserve">Expand University Partnerships:</w:t>
      </w:r>
      <w:r>
        <w:t xml:space="preserve"> </w:t>
      </w:r>
      <w:r>
        <w:t xml:space="preserve">Formalize agreements with Goethe University’s Robotics Institute to create a dedicated talent pipeline for the Frankfurt market.</w:t>
      </w:r>
    </w:p>
    <w:p>
      <w:pPr>
        <w:numPr>
          <w:ilvl w:val="0"/>
          <w:numId w:val="1004"/>
        </w:numPr>
        <w:pStyle w:val="Compact"/>
      </w:pPr>
      <w:r>
        <w:rPr>
          <w:bCs/>
          <w:b/>
        </w:rPr>
        <w:t xml:space="preserve">Leverage Frankfurt’s Infrastructure:</w:t>
      </w:r>
      <w:r>
        <w:t xml:space="preserve"> </w:t>
      </w:r>
      <w:r>
        <w:t xml:space="preserve">Host quarterly "Robotics Engineer Matchmaking Forums" at the Frankfurt Trade Fair Center (Messe Frankfurt) to connect candidates with clients.</w:t>
      </w:r>
    </w:p>
    <w:p>
      <w:pPr>
        <w:numPr>
          <w:ilvl w:val="0"/>
          <w:numId w:val="1004"/>
        </w:numPr>
        <w:pStyle w:val="Compact"/>
      </w:pPr>
      <w:r>
        <w:rPr>
          <w:bCs/>
          <w:b/>
        </w:rPr>
        <w:t xml:space="preserve">Focus on AI-Integrated Robotics:</w:t>
      </w:r>
      <w:r>
        <w:t xml:space="preserve"> </w:t>
      </w:r>
      <w:r>
        <w:t xml:space="preserve">63% of new Robotics Engineer roles in Frankfurt now require AI/ML skills. We’ll partner with local AI startups (e.g., DeepL’s Frankfurt R&amp;D arm) to certify engineers in these high-demand capabilities.</w:t>
      </w:r>
    </w:p>
    <w:p>
      <w:pPr>
        <w:pStyle w:val="FirstParagraph"/>
      </w:pPr>
      <w:r>
        <w:t xml:space="preserve">These actions align with Germany’s "Industry 5.0" initiative, positioning us as the premier partner for Robotics Engineer talent acquisition within Frankfurt. Projections indicate a 35% revenue increase from the Frankfurt market by Q1 2025.</w:t>
      </w:r>
    </w:p>
    <w:bookmarkEnd w:id="25"/>
    <w:bookmarkStart w:id="26" w:name="conclusion-the-frankfurt-imperative"/>
    <w:p>
      <w:pPr>
        <w:pStyle w:val="Heading2"/>
      </w:pPr>
      <w:r>
        <w:t xml:space="preserve">Conclusion: The Frankfurt Imperative</w:t>
      </w:r>
    </w:p>
    <w:p>
      <w:pPr>
        <w:pStyle w:val="FirstParagraph"/>
      </w:pPr>
      <w:r>
        <w:t xml:space="preserve">The demand for specialized Robotics Engineer expertise in Germany’s financial capital is not merely growing—it is fundamental to Frankfurt’s economic evolution. As a city where finance, logistics, and engineering intersect at scale, Frankfurt demands recruitment solutions as sophisticated as the technology it adopts. Our Q3 results prove that localized sales strategies centered on Robotics Engineer talent—tailored to Frankfurt’s unique ecosystem—deliver exceptional ROI. By embedding our services within the fabric of Germany’s most dynamic business hub, we are not just filling roles; we are enabling Frankfurt’s next phase of industrial leadership. This report affirms that the</w:t>
      </w:r>
      <w:r>
        <w:t xml:space="preserve"> </w:t>
      </w:r>
      <w:r>
        <w:rPr>
          <w:bCs/>
          <w:b/>
        </w:rPr>
        <w:t xml:space="preserve">Robotics Engineer</w:t>
      </w:r>
      <w:r>
        <w:t xml:space="preserve"> </w:t>
      </w:r>
      <w:r>
        <w:t xml:space="preserve">is no longer a niche role but the cornerstone of sustainable growth in</w:t>
      </w:r>
      <w:r>
        <w:t xml:space="preserve"> </w:t>
      </w:r>
      <w:r>
        <w:rPr>
          <w:bCs/>
          <w:b/>
        </w:rPr>
        <w:t xml:space="preserve">Germany Frankfurt</w:t>
      </w:r>
      <w:r>
        <w:t xml:space="preserve">.</w:t>
      </w:r>
    </w:p>
    <w:p>
      <w:pPr>
        <w:pStyle w:val="BodyText"/>
      </w:pPr>
      <w:r>
        <w:rPr>
          <w:iCs/>
          <w:i/>
        </w:rPr>
        <w:t xml:space="preserve">Sales Report Prepared By: Global Robotics Talent Solutions (GRTS) | Frankfurt Office |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Robotics Solutions: Sales Report - Frankfurt Market Focus</dc:title>
  <dc:creator/>
  <dc:language>en</dc:language>
  <cp:keywords/>
  <dcterms:created xsi:type="dcterms:W3CDTF">2026-07-22T20:44:25Z</dcterms:created>
  <dcterms:modified xsi:type="dcterms:W3CDTF">2026-07-22T20:44:25Z</dcterms:modified>
</cp:coreProperties>
</file>

<file path=docProps/custom.xml><?xml version="1.0" encoding="utf-8"?>
<Properties xmlns="http://schemas.openxmlformats.org/officeDocument/2006/custom-properties" xmlns:vt="http://schemas.openxmlformats.org/officeDocument/2006/docPropsVTypes"/>
</file>