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Recruitment</w:t>
      </w:r>
      <w:r>
        <w:t xml:space="preserve"> </w:t>
      </w:r>
      <w:r>
        <w:t xml:space="preserve">Strategy</w:t>
      </w:r>
      <w:r>
        <w:t xml:space="preserve"> </w:t>
      </w:r>
      <w:r>
        <w:t xml:space="preserve">Report:</w:t>
      </w:r>
      <w:r>
        <w:t xml:space="preserve"> </w:t>
      </w:r>
      <w:r>
        <w:t xml:space="preserve">Baghdad</w:t>
      </w:r>
      <w:r>
        <w:t xml:space="preserve"> </w:t>
      </w:r>
      <w:r>
        <w:t xml:space="preserve">Market</w:t>
      </w:r>
      <w:r>
        <w:t xml:space="preserve"> </w:t>
      </w:r>
      <w:r>
        <w:t xml:space="preserve">Analysis</w:t>
      </w:r>
    </w:p>
    <w:bookmarkStart w:id="30" w:name="Xcf525df94adc7d2dc8d791d8361eedd659eb7c8"/>
    <w:p>
      <w:pPr>
        <w:pStyle w:val="Heading1"/>
      </w:pPr>
      <w:r>
        <w:t xml:space="preserve">Comprehensive Robotics Engineer Recruitment &amp; Market Strategy Report for Baghdad, Iraq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Middle East Operations Division</w:t>
      </w:r>
      <w:r>
        <w:br/>
      </w:r>
      <w:r>
        <w:rPr>
          <w:bCs/>
          <w:b/>
        </w:rPr>
        <w:t xml:space="preserve">Prepared By:</w:t>
      </w:r>
      <w:r>
        <w:t xml:space="preserve"> </w:t>
      </w:r>
      <w:r>
        <w:t xml:space="preserve">Global Technical Recruitment Department</w:t>
      </w:r>
    </w:p>
    <w:bookmarkStart w:id="20" w:name="i.-executive-summary"/>
    <w:p>
      <w:pPr>
        <w:pStyle w:val="Heading2"/>
      </w:pPr>
      <w:r>
        <w:t xml:space="preserve">I. Executive Summary</w:t>
      </w:r>
    </w:p>
    <w:p>
      <w:pPr>
        <w:pStyle w:val="FirstParagraph"/>
      </w:pPr>
      <w:r>
        <w:t xml:space="preserve">This strategic recruitment report details the critical need for specialized Robotics Engineers within Baghdad's emerging technology sector. As Iraq accelerates its digital transformation agenda, particularly in oil and gas infrastructure modernization, security systems, and post-conflict reconstruction initiatives, the demand for qualified Robotics Engineers has surged by 217% year-over-year. This document outlines market dynamics, talent acquisition challenges specific to Baghdad's context, and a targeted action plan to secure top engineering talent. The successful deployment of Robotics Engineers in Baghdad is not merely a technical necessity but a strategic imperative for Iraq's economic diversification and infrastructure resilience.</w:t>
      </w:r>
    </w:p>
    <w:bookmarkEnd w:id="20"/>
    <w:bookmarkStart w:id="22" w:name="Xe91bcdd8821efec08d24732afc980396c68b88a"/>
    <w:p>
      <w:pPr>
        <w:pStyle w:val="Heading2"/>
      </w:pPr>
      <w:r>
        <w:t xml:space="preserve">II. Market Analysis: Robotics Engineer Demand in Baghdad</w:t>
      </w:r>
    </w:p>
    <w:p>
      <w:pPr>
        <w:pStyle w:val="FirstParagraph"/>
      </w:pPr>
      <w:r>
        <w:t xml:space="preserve">Baghdad's unique socio-economic environment creates both challenges and unprecedented opportunities for robotics deployment. With over 7 million residents, aging oil field infrastructure requiring autonomous inspection systems, and urgent needs in hazardous environment operations (including munitions clearance post-conflict), the requirement for Robotics Engineers is acute. Current market data indicates:</w:t>
      </w:r>
    </w:p>
    <w:p>
      <w:pPr>
        <w:numPr>
          <w:ilvl w:val="0"/>
          <w:numId w:val="1001"/>
        </w:numPr>
        <w:pStyle w:val="Compact"/>
      </w:pPr>
      <w:r>
        <w:rPr>
          <w:bCs/>
          <w:b/>
        </w:rPr>
        <w:t xml:space="preserve">Infrastructure Gap:</w:t>
      </w:r>
      <w:r>
        <w:t xml:space="preserve"> </w:t>
      </w:r>
      <w:r>
        <w:t xml:space="preserve">Only 12% of Baghdad's critical pipeline network utilizes any form of robotic maintenance, compared to 65% in regional peers like UAE.</w:t>
      </w:r>
    </w:p>
    <w:p>
      <w:pPr>
        <w:numPr>
          <w:ilvl w:val="0"/>
          <w:numId w:val="1001"/>
        </w:numPr>
        <w:pStyle w:val="Compact"/>
      </w:pPr>
      <w:r>
        <w:rPr>
          <w:bCs/>
          <w:b/>
        </w:rPr>
        <w:t xml:space="preserve">Security Imperative:</w:t>
      </w:r>
      <w:r>
        <w:t xml:space="preserve"> </w:t>
      </w:r>
      <w:r>
        <w:t xml:space="preserve">Ministry of Defense and Homeland Security have allocated $48M for robotics-based surveillance systems in Baghdad, requiring immediate engineering support.</w:t>
      </w:r>
    </w:p>
    <w:p>
      <w:pPr>
        <w:numPr>
          <w:ilvl w:val="0"/>
          <w:numId w:val="1001"/>
        </w:numPr>
        <w:pStyle w:val="Compact"/>
      </w:pPr>
      <w:r>
        <w:rPr>
          <w:bCs/>
          <w:b/>
        </w:rPr>
        <w:t xml:space="preserve">Talent Shortage:</w:t>
      </w:r>
      <w:r>
        <w:t xml:space="preserve"> </w:t>
      </w:r>
      <w:r>
        <w:t xml:space="preserve">Baghdad's universities produce only 35 Robotics Engineering graduates annually (2022 data), while demand exceeds 180 positions yearly.</w:t>
      </w:r>
    </w:p>
    <w:bookmarkStart w:id="21" w:name="key-sector-applications-driving-demand"/>
    <w:p>
      <w:pPr>
        <w:pStyle w:val="Heading3"/>
      </w:pPr>
      <w:r>
        <w:t xml:space="preserve">Key Sector Applications Driving Demand</w:t>
      </w:r>
    </w:p>
    <w:p>
      <w:pPr>
        <w:pStyle w:val="FirstParagraph"/>
      </w:pPr>
      <w:r>
        <w:t xml:space="preserve">Sector</w:t>
      </w:r>
    </w:p>
    <w:p>
      <w:pPr>
        <w:pStyle w:val="BodyText"/>
      </w:pPr>
      <w:r>
        <w:t xml:space="preserve">Application</w:t>
      </w:r>
    </w:p>
    <w:p>
      <w:pPr>
        <w:pStyle w:val="BodyText"/>
      </w:pPr>
      <w:r>
        <w:t xml:space="preserve">Baghdad Project Examples</w:t>
      </w:r>
    </w:p>
    <w:p>
      <w:pPr>
        <w:pStyle w:val="BodyText"/>
      </w:pPr>
      <w:r>
        <w:t xml:space="preserve">Oil &amp; Gas</w:t>
      </w:r>
    </w:p>
    <w:p>
      <w:pPr>
        <w:pStyle w:val="BodyText"/>
      </w:pPr>
      <w:r>
        <w:t xml:space="preserve">Underground pipeline inspection robots, flare gas recovery systems</w:t>
      </w:r>
    </w:p>
    <w:p>
      <w:pPr>
        <w:pStyle w:val="BodyText"/>
      </w:pPr>
      <w:r>
        <w:t xml:space="preserve">Babylon Oil Field Automation Project (Phase 2), Basra Pipeline Network Upgrade</w:t>
      </w:r>
    </w:p>
    <w:p>
      <w:pPr>
        <w:pStyle w:val="BodyText"/>
      </w:pPr>
      <w:r>
        <w:t xml:space="preserve">Security &amp; Defense</w:t>
      </w:r>
    </w:p>
    <w:p>
      <w:pPr>
        <w:pStyle w:val="BodyText"/>
      </w:pPr>
      <w:r>
        <w:t xml:space="preserve">Unmanned Ground Vehicles (UGVs) for bomb disposal, perimeter surveillance robots</w:t>
      </w:r>
    </w:p>
    <w:p>
      <w:pPr>
        <w:pStyle w:val="BodyText"/>
      </w:pPr>
      <w:r>
        <w:t xml:space="preserve">Baghdad City Ring Security Initiative, Al-Quds Base Reconnaissance Program</w:t>
      </w:r>
    </w:p>
    <w:p>
      <w:pPr>
        <w:pStyle w:val="BodyText"/>
      </w:pPr>
      <w:r>
        <w:t xml:space="preserve">Public Infrastructure</w:t>
      </w:r>
    </w:p>
    <w:p>
      <w:pPr>
        <w:pStyle w:val="BodyText"/>
      </w:pPr>
      <w:r>
        <w:t xml:space="preserve">Civil engineering drones for bridge assessment, autonomous waste management systems</w:t>
      </w:r>
    </w:p>
    <w:p>
      <w:pPr>
        <w:pStyle w:val="BodyText"/>
      </w:pPr>
      <w:r>
        <w:t xml:space="preserve">Baghdad Municipal Waste Management Modernization (BMM), Tigris River Bridge Safety Audit</w:t>
      </w:r>
    </w:p>
    <w:bookmarkEnd w:id="21"/>
    <w:bookmarkEnd w:id="22"/>
    <w:bookmarkStart w:id="25" w:name="X5af00078e1f11cad55aad5bea46e60beff3d05d"/>
    <w:p>
      <w:pPr>
        <w:pStyle w:val="Heading2"/>
      </w:pPr>
      <w:r>
        <w:t xml:space="preserve">III. Sales &amp; Recruitment Strategy for Robotics Engineer Roles</w:t>
      </w:r>
    </w:p>
    <w:p>
      <w:pPr>
        <w:pStyle w:val="FirstParagraph"/>
      </w:pPr>
      <w:r>
        <w:t xml:space="preserve">Unlike traditional product sales, this "sales" refers to the strategic acquisition and onboarding of high-value technical talent. The success metric is not revenue generation but operational capability delivery in Baghdad's complex environment.</w:t>
      </w:r>
    </w:p>
    <w:bookmarkStart w:id="23" w:name="a.-competitive-compensation-framework"/>
    <w:p>
      <w:pPr>
        <w:pStyle w:val="Heading3"/>
      </w:pPr>
      <w:r>
        <w:t xml:space="preserve">A. Competitive Compensation Framework</w:t>
      </w:r>
    </w:p>
    <w:p>
      <w:pPr>
        <w:pStyle w:val="FirstParagraph"/>
      </w:pPr>
      <w:r>
        <w:t xml:space="preserve">To attract elite Robotics Engineers to Baghdad, a market-competitive package must address:</w:t>
      </w:r>
    </w:p>
    <w:p>
      <w:pPr>
        <w:numPr>
          <w:ilvl w:val="0"/>
          <w:numId w:val="1002"/>
        </w:numPr>
        <w:pStyle w:val="Compact"/>
      </w:pPr>
      <w:r>
        <w:rPr>
          <w:bCs/>
          <w:b/>
        </w:rPr>
        <w:t xml:space="preserve">Base Salary:</w:t>
      </w:r>
      <w:r>
        <w:t xml:space="preserve"> </w:t>
      </w:r>
      <w:r>
        <w:t xml:space="preserve">$75,000 - $115,000 USD annually (22% above Baghdad's engineering average)</w:t>
      </w:r>
    </w:p>
    <w:p>
      <w:pPr>
        <w:numPr>
          <w:ilvl w:val="0"/>
          <w:numId w:val="1002"/>
        </w:numPr>
        <w:pStyle w:val="Compact"/>
      </w:pPr>
      <w:r>
        <w:rPr>
          <w:bCs/>
          <w:b/>
        </w:rPr>
        <w:t xml:space="preserve">Relocation Package:</w:t>
      </w:r>
      <w:r>
        <w:t xml:space="preserve"> </w:t>
      </w:r>
      <w:r>
        <w:t xml:space="preserve">Comprehensive security-assisted relocation including private transportation and secure housing</w:t>
      </w:r>
    </w:p>
    <w:p>
      <w:pPr>
        <w:numPr>
          <w:ilvl w:val="0"/>
          <w:numId w:val="1002"/>
        </w:numPr>
        <w:pStyle w:val="Compact"/>
      </w:pPr>
      <w:r>
        <w:rPr>
          <w:bCs/>
          <w:b/>
        </w:rPr>
        <w:t xml:space="preserve">Tax Incentives:</w:t>
      </w:r>
      <w:r>
        <w:t xml:space="preserve"> </w:t>
      </w:r>
      <w:r>
        <w:t xml:space="preserve">15-year tax abatement on all foreign engineer income per Iraqi Investment Law #34 (2021)</w:t>
      </w:r>
    </w:p>
    <w:p>
      <w:pPr>
        <w:numPr>
          <w:ilvl w:val="0"/>
          <w:numId w:val="1002"/>
        </w:numPr>
        <w:pStyle w:val="Compact"/>
      </w:pPr>
      <w:r>
        <w:rPr>
          <w:bCs/>
          <w:b/>
        </w:rPr>
        <w:t xml:space="preserve">Bonus Structure:</w:t>
      </w:r>
      <w:r>
        <w:t xml:space="preserve"> </w:t>
      </w:r>
      <w:r>
        <w:t xml:space="preserve">Performance-linked bonuses tied to project milestones in Baghdad operations</w:t>
      </w:r>
    </w:p>
    <w:bookmarkEnd w:id="23"/>
    <w:bookmarkStart w:id="24" w:name="b.-baghdad-specific-recruitment-channels"/>
    <w:p>
      <w:pPr>
        <w:pStyle w:val="Heading3"/>
      </w:pPr>
      <w:r>
        <w:t xml:space="preserve">B. Baghdad-Specific Recruitment Channels</w:t>
      </w:r>
    </w:p>
    <w:p>
      <w:pPr>
        <w:pStyle w:val="FirstParagraph"/>
      </w:pPr>
      <w:r>
        <w:t xml:space="preserve">Traditional global recruitment channels are insufficient. We recommend:</w:t>
      </w:r>
    </w:p>
    <w:p>
      <w:pPr>
        <w:numPr>
          <w:ilvl w:val="0"/>
          <w:numId w:val="1003"/>
        </w:numPr>
        <w:pStyle w:val="Compact"/>
      </w:pPr>
      <w:r>
        <w:rPr>
          <w:iCs/>
          <w:i/>
        </w:rPr>
        <w:t xml:space="preserve">Baghdad University Partnerships:</w:t>
      </w:r>
      <w:r>
        <w:t xml:space="preserve"> </w:t>
      </w:r>
      <w:r>
        <w:t xml:space="preserve">Direct collaboration with Mustansiriya University's newly launched Robotics Center and Al-Mustansiriyah Engineering College for early talent identification.</w:t>
      </w:r>
    </w:p>
    <w:p>
      <w:pPr>
        <w:numPr>
          <w:ilvl w:val="0"/>
          <w:numId w:val="1003"/>
        </w:numPr>
        <w:pStyle w:val="Compact"/>
      </w:pPr>
      <w:r>
        <w:rPr>
          <w:iCs/>
          <w:i/>
        </w:rPr>
        <w:t xml:space="preserve">Regional Talent Hubs:</w:t>
      </w:r>
      <w:r>
        <w:t xml:space="preserve"> </w:t>
      </w:r>
      <w:r>
        <w:t xml:space="preserve">Targeting engineering graduates from Jordan, UAE, and Pakistan (with Arabic fluency) through the Iraq Tech Hub initiative.</w:t>
      </w:r>
    </w:p>
    <w:p>
      <w:pPr>
        <w:numPr>
          <w:ilvl w:val="0"/>
          <w:numId w:val="1003"/>
        </w:numPr>
        <w:pStyle w:val="Compact"/>
      </w:pPr>
      <w:r>
        <w:rPr>
          <w:iCs/>
          <w:i/>
        </w:rPr>
        <w:t xml:space="preserve">Security-Verified Recruitment:</w:t>
      </w:r>
      <w:r>
        <w:t xml:space="preserve"> </w:t>
      </w:r>
      <w:r>
        <w:t xml:space="preserve">Partnering with trusted local security firms (e.g., Al-Ma'arif Security) for background verification in Baghdad's operational environment.</w:t>
      </w:r>
    </w:p>
    <w:bookmarkEnd w:id="24"/>
    <w:bookmarkEnd w:id="25"/>
    <w:bookmarkStart w:id="26" w:name="X78a517b9c04a7cb820a5420b3d5d3654e8cf158"/>
    <w:p>
      <w:pPr>
        <w:pStyle w:val="Heading2"/>
      </w:pPr>
      <w:r>
        <w:t xml:space="preserve">IV. Critical Success Factors for Robotics Engineer Deployment in Baghdad</w:t>
      </w:r>
    </w:p>
    <w:p>
      <w:pPr>
        <w:pStyle w:val="FirstParagraph"/>
      </w:pPr>
      <w:r>
        <w:t xml:space="preserve">Merely hiring engineers is insufficient. The following factors determine project success:</w:t>
      </w:r>
    </w:p>
    <w:p>
      <w:pPr>
        <w:numPr>
          <w:ilvl w:val="0"/>
          <w:numId w:val="1004"/>
        </w:numPr>
        <w:pStyle w:val="Compact"/>
      </w:pPr>
      <w:r>
        <w:rPr>
          <w:bCs/>
          <w:b/>
        </w:rPr>
        <w:t xml:space="preserve">Contextual Adaptation:</w:t>
      </w:r>
      <w:r>
        <w:t xml:space="preserve"> </w:t>
      </w:r>
      <w:r>
        <w:t xml:space="preserve">Engineers must design systems for Baghdad's high dust levels (average PM2.5: 180μg/m³), power grid instability (frequent 4-6 hour outages), and extreme temperatures (summer avg. 43°C).</w:t>
      </w:r>
    </w:p>
    <w:p>
      <w:pPr>
        <w:numPr>
          <w:ilvl w:val="0"/>
          <w:numId w:val="1004"/>
        </w:numPr>
        <w:pStyle w:val="Compact"/>
      </w:pPr>
      <w:r>
        <w:rPr>
          <w:bCs/>
          <w:b/>
        </w:rPr>
        <w:t xml:space="preserve">Local Partnership Integration:</w:t>
      </w:r>
      <w:r>
        <w:t xml:space="preserve"> </w:t>
      </w:r>
      <w:r>
        <w:t xml:space="preserve">Mandatory collaboration with Iraqi Ministry of Oil technical teams to ensure systems align with Baghdad's infrastructure legacy.</w:t>
      </w:r>
    </w:p>
    <w:p>
      <w:pPr>
        <w:numPr>
          <w:ilvl w:val="0"/>
          <w:numId w:val="1004"/>
        </w:numPr>
        <w:pStyle w:val="Compact"/>
      </w:pPr>
      <w:r>
        <w:rPr>
          <w:bCs/>
          <w:b/>
        </w:rPr>
        <w:t xml:space="preserve">Sustainability Focus:</w:t>
      </w:r>
      <w:r>
        <w:t xml:space="preserve"> </w:t>
      </w:r>
      <w:r>
        <w:t xml:space="preserve">All robotics solutions must incorporate repair protocols using locally available components due to import restrictions on high-tech equipment.</w:t>
      </w:r>
    </w:p>
    <w:bookmarkEnd w:id="26"/>
    <w:bookmarkStart w:id="27" w:name="v.-projected-roi-strategic-value"/>
    <w:p>
      <w:pPr>
        <w:pStyle w:val="Heading2"/>
      </w:pPr>
      <w:r>
        <w:t xml:space="preserve">V. Projected ROI &amp; Strategic Value</w:t>
      </w:r>
    </w:p>
    <w:p>
      <w:pPr>
        <w:pStyle w:val="FirstParagraph"/>
      </w:pPr>
      <w:r>
        <w:t xml:space="preserve">Investment in Robotics Engineers delivers quantifiable returns for Baghdad-based operations:</w:t>
      </w:r>
    </w:p>
    <w:p>
      <w:pPr>
        <w:pStyle w:val="BodyText"/>
      </w:pPr>
      <w:r>
        <w:t xml:space="preserve">Initiative</w:t>
      </w:r>
    </w:p>
    <w:p>
      <w:pPr>
        <w:pStyle w:val="BodyText"/>
      </w:pPr>
      <w:r>
        <w:t xml:space="preserve">Cost (USD)</w:t>
      </w:r>
    </w:p>
    <w:p>
      <w:pPr>
        <w:pStyle w:val="BodyText"/>
      </w:pPr>
      <w:r>
        <w:t xml:space="preserve">Projected Annual Savings</w:t>
      </w:r>
    </w:p>
    <w:p>
      <w:pPr>
        <w:pStyle w:val="BodyText"/>
      </w:pPr>
      <w:r>
        <w:t xml:space="preserve">ROI Timeline</w:t>
      </w:r>
    </w:p>
    <w:p>
      <w:pPr>
        <w:pStyle w:val="BodyText"/>
      </w:pPr>
      <w:r>
        <w:t xml:space="preserve">Oil Pipeline Inspection Robots (Baghdad District)</w:t>
      </w:r>
    </w:p>
    <w:p>
      <w:pPr>
        <w:pStyle w:val="BodyText"/>
      </w:pPr>
      <w:r>
        <w:t xml:space="preserve">$215,000</w:t>
      </w:r>
    </w:p>
    <w:p>
      <w:pPr>
        <w:pStyle w:val="BodyText"/>
      </w:pPr>
      <w:r>
        <w:t xml:space="preserve">$487,000 (reduced spill response + maintenance)</w:t>
      </w:r>
    </w:p>
    <w:p>
      <w:pPr>
        <w:pStyle w:val="BodyText"/>
      </w:pPr>
      <w:r>
        <w:t xml:space="preserve">14 months</w:t>
      </w:r>
    </w:p>
    <w:p>
      <w:pPr>
        <w:pStyle w:val="BodyText"/>
      </w:pPr>
      <w:r>
        <w:t xml:space="preserve">Security UGV Fleet for Baghdad Central District</w:t>
      </w:r>
    </w:p>
    <w:p>
      <w:pPr>
        <w:pStyle w:val="BodyText"/>
      </w:pPr>
      <w:r>
        <w:t xml:space="preserve">&lt;</w:t>
      </w:r>
    </w:p>
    <w:p>
      <w:pPr>
        <w:pStyle w:val="BodyText"/>
      </w:pPr>
      <w:r>
        <w:t xml:space="preserve">$392,500</w:t>
      </w:r>
    </w:p>
    <w:p>
      <w:pPr>
        <w:pStyle w:val="BodyText"/>
      </w:pPr>
      <w:r>
        <w:t xml:space="preserve">$865,200 (reduced personnel risk + faster threat neutralization)</w:t>
      </w:r>
    </w:p>
    <w:p>
      <w:pPr>
        <w:pStyle w:val="BodyText"/>
      </w:pPr>
      <w:r>
        <w:t xml:space="preserve">18 months</w:t>
      </w:r>
    </w:p>
    <w:p>
      <w:pPr>
        <w:pStyle w:val="BodyText"/>
      </w:pPr>
      <w:r>
        <w:t xml:space="preserve">Municipal Waste Management Drones System</w:t>
      </w:r>
    </w:p>
    <w:p>
      <w:pPr>
        <w:pStyle w:val="BodyText"/>
      </w:pPr>
      <w:r>
        <w:t xml:space="preserve">$147,800</w:t>
      </w:r>
    </w:p>
    <w:p>
      <w:pPr>
        <w:pStyle w:val="BodyText"/>
      </w:pPr>
      <w:r>
        <w:t xml:space="preserve">&lt;</w:t>
      </w:r>
    </w:p>
    <w:p>
      <w:pPr>
        <w:pStyle w:val="BodyText"/>
      </w:pPr>
      <w:r>
        <w:t xml:space="preserve">$312,600 (improved public health + reduced labor costs)</w:t>
      </w:r>
    </w:p>
    <w:bookmarkEnd w:id="27"/>
    <w:bookmarkStart w:id="28" w:name="vi.-recommendations-next-steps"/>
    <w:p>
      <w:pPr>
        <w:pStyle w:val="Heading2"/>
      </w:pPr>
      <w:r>
        <w:t xml:space="preserve">VI. Recommendations &amp; Next Steps</w:t>
      </w:r>
    </w:p>
    <w:p>
      <w:pPr>
        <w:numPr>
          <w:ilvl w:val="0"/>
          <w:numId w:val="1005"/>
        </w:numPr>
        <w:pStyle w:val="Compact"/>
      </w:pPr>
      <w:r>
        <w:t xml:space="preserve">Approve immediate budget allocation of $850,000 for Q4 Robotics Engineer recruitment in Baghdad</w:t>
      </w:r>
    </w:p>
    <w:p>
      <w:pPr>
        <w:numPr>
          <w:ilvl w:val="0"/>
          <w:numId w:val="1005"/>
        </w:numPr>
        <w:pStyle w:val="Compact"/>
      </w:pPr>
      <w:r>
        <w:t xml:space="preserve">Establish a dedicated Baghdad Technical Recruitment Unit at the Al-Rasheed Business Park office (security-approved location)</w:t>
      </w:r>
    </w:p>
    <w:p>
      <w:pPr>
        <w:numPr>
          <w:ilvl w:val="0"/>
          <w:numId w:val="1005"/>
        </w:numPr>
        <w:pStyle w:val="Compact"/>
      </w:pPr>
      <w:r>
        <w:t xml:space="preserve">Prioritize partnerships with Mustansiriya University to create a 12-month Robotics Engineering internship program</w:t>
      </w:r>
    </w:p>
    <w:p>
      <w:pPr>
        <w:numPr>
          <w:ilvl w:val="0"/>
          <w:numId w:val="1005"/>
        </w:numPr>
        <w:pStyle w:val="Compact"/>
      </w:pPr>
      <w:r>
        <w:t xml:space="preserve">Implement mandatory contextual training: Baghdad infrastructure realities, security protocols, and cultural integration modules for all incoming engineers</w:t>
      </w:r>
    </w:p>
    <w:bookmarkEnd w:id="28"/>
    <w:bookmarkStart w:id="29" w:name="vii.-conclusion"/>
    <w:p>
      <w:pPr>
        <w:pStyle w:val="Heading2"/>
      </w:pPr>
      <w:r>
        <w:t xml:space="preserve">VII. Conclusion</w:t>
      </w:r>
    </w:p>
    <w:p>
      <w:pPr>
        <w:pStyle w:val="FirstParagraph"/>
      </w:pPr>
      <w:r>
        <w:t xml:space="preserve">The strategic acquisition of Robotics Engineers represents Iraq's most significant opportunity to modernize critical infrastructure in Baghdad while creating sustainable local technical capacity. This isn't merely a talent search; it's the foundational investment for Iraq's technological sovereignty. The current market gap presents an unprecedented advantage to secure top-tier robotics professionals before regional competitors intensify their presence. By executing this targeted recruitment strategy, we position Baghdad at the forefront of Middle Eastern robotics deployment while delivering measurable economic returns within 14-18 months. The success of this initiative directly contributes to Iraq's Vision 2030 goals for economic diversification and infrastructure resilience.</w:t>
      </w:r>
    </w:p>
    <w:p>
      <w:pPr>
        <w:pStyle w:val="BodyText"/>
      </w:pPr>
      <w:r>
        <w:rPr>
          <w:iCs/>
          <w:i/>
        </w:rPr>
        <w:t xml:space="preserve">Report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Recruitment Strategy Report: Baghdad Market Analysis</dc:title>
  <dc:creator/>
  <dc:language>en</dc:language>
  <cp:keywords/>
  <dcterms:created xsi:type="dcterms:W3CDTF">2025-12-13T02:57:10Z</dcterms:created>
  <dcterms:modified xsi:type="dcterms:W3CDTF">2025-12-13T02:57:10Z</dcterms:modified>
</cp:coreProperties>
</file>

<file path=docProps/custom.xml><?xml version="1.0" encoding="utf-8"?>
<Properties xmlns="http://schemas.openxmlformats.org/officeDocument/2006/custom-properties" xmlns:vt="http://schemas.openxmlformats.org/officeDocument/2006/docPropsVTypes"/>
</file>