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Israel</w:t>
      </w:r>
      <w:r>
        <w:t xml:space="preserve"> </w:t>
      </w:r>
      <w:r>
        <w:t xml:space="preserve">Tel</w:t>
      </w:r>
      <w:r>
        <w:t xml:space="preserve"> </w:t>
      </w:r>
      <w:r>
        <w:t xml:space="preserve">Aviv</w:t>
      </w:r>
    </w:p>
    <w:bookmarkStart w:id="27" w:name="X2cf632bc41ce3af29adfac6bd1d33859544dd99"/>
    <w:p>
      <w:pPr>
        <w:pStyle w:val="Heading1"/>
      </w:pPr>
      <w:r>
        <w:t xml:space="preserve">Sales Report: Robotics Engineer Talent Acquisition and Market Growth in Israel Tel Aviv</w:t>
      </w:r>
    </w:p>
    <w:p>
      <w:pPr>
        <w:pStyle w:val="FirstParagraph"/>
      </w:pPr>
      <w:r>
        <w:rPr>
          <w:bCs/>
          <w:b/>
        </w:rPr>
        <w:t xml:space="preserve">Prepared For:</w:t>
      </w:r>
      <w:r>
        <w:t xml:space="preserve"> </w:t>
      </w:r>
      <w:r>
        <w:t xml:space="preserve">Global Technology Sales Leadership Team</w:t>
      </w:r>
      <w:r>
        <w:br/>
      </w:r>
      <w:r>
        <w:rPr>
          <w:bCs/>
          <w:b/>
        </w:rPr>
        <w:t xml:space="preserve">Date:</w:t>
      </w:r>
      <w:r>
        <w:t xml:space="preserve"> </w:t>
      </w:r>
      <w:r>
        <w:t xml:space="preserve">October 26, 2023</w:t>
      </w:r>
      <w:r>
        <w:br/>
      </w:r>
      <w:r>
        <w:rPr>
          <w:bCs/>
          <w:b/>
        </w:rPr>
        <w:t xml:space="preserve">Region:</w:t>
      </w:r>
      <w:r>
        <w:t xml:space="preserve"> </w:t>
      </w:r>
      <w:r>
        <w:t xml:space="preserve">Israel Tel Aviv</w:t>
      </w:r>
    </w:p>
    <w:bookmarkStart w:id="20" w:name="i.-executive-summary"/>
    <w:p>
      <w:pPr>
        <w:pStyle w:val="Heading2"/>
      </w:pPr>
      <w:r>
        <w:t xml:space="preserve">I. Executive Summary</w:t>
      </w:r>
    </w:p>
    <w:p>
      <w:pPr>
        <w:pStyle w:val="FirstParagraph"/>
      </w:pPr>
      <w:r>
        <w:t xml:space="preserve">This Sales Report provides critical insights into the escalating demand for skilled Robotics Engineers within the dynamic tech ecosystem of Israel Tel Aviv. As a global hub for innovation, Tel Aviv has become a magnet for robotics talent, with startups and multinational corporations competing fiercely to secure top-tier Engineering expertise. Our analysis confirms that Robotics Engineer roles in Israel Tel Aviv are experiencing 32% year-over-year growth in recruitment activity, driven by strategic investments from both local venture capital firms and international tech giants. This report outlines actionable sales strategies to capture market share by aligning talent acquisition with Tel Aviv's unique technological landscape.</w:t>
      </w:r>
    </w:p>
    <w:bookmarkEnd w:id="20"/>
    <w:bookmarkStart w:id="21" w:name="X179a6f4a9cb16d5646139948e46d73b9e639180"/>
    <w:p>
      <w:pPr>
        <w:pStyle w:val="Heading2"/>
      </w:pPr>
      <w:r>
        <w:t xml:space="preserve">II. Market Dynamics: Israel Tel Aviv as a Robotics Epicenter</w:t>
      </w:r>
    </w:p>
    <w:p>
      <w:pPr>
        <w:pStyle w:val="FirstParagraph"/>
      </w:pPr>
      <w:r>
        <w:t xml:space="preserve">Israel Tel Aviv has solidified its position as one of the world’s most vibrant robotics innovation clusters outside of North America and Asia. The city’s ecosystem thrives on synergies between defense sector R&amp;D, academic excellence (notably at Tel Aviv University and the Technion), and a highly entrepreneurial spirit. Over 120 robotics startups now operate within Tel Aviv's boundaries, with sectors like autonomous logistics, medical robotics, and agricultural automation representing the fastest-growing segments. This concentration creates unprecedented demand for specialized</w:t>
      </w:r>
      <w:r>
        <w:t xml:space="preserve"> </w:t>
      </w:r>
      <w:r>
        <w:rPr>
          <w:bCs/>
          <w:b/>
        </w:rPr>
        <w:t xml:space="preserve">Robotics Engineer</w:t>
      </w:r>
      <w:r>
        <w:t xml:space="preserve"> </w:t>
      </w:r>
      <w:r>
        <w:t xml:space="preserve">talent capable of developing cutting-edge solutions from concept to commercial deployment.</w:t>
      </w:r>
    </w:p>
    <w:p>
      <w:pPr>
        <w:pStyle w:val="BodyText"/>
      </w:pPr>
      <w:r>
        <w:t xml:space="preserve">A key differentiator for Israel Tel Aviv is its unique integration of military-grade precision with consumer-focused innovation. Companies such as Mobileye (acquired by Intel), RoboTerra, and Seebo have established Tel Aviv as the nerve center for perception systems and AI-driven robotics. This environment demands</w:t>
      </w:r>
      <w:r>
        <w:t xml:space="preserve"> </w:t>
      </w:r>
      <w:r>
        <w:rPr>
          <w:bCs/>
          <w:b/>
        </w:rPr>
        <w:t xml:space="preserve">Robotics Engineer</w:t>
      </w:r>
      <w:r>
        <w:t xml:space="preserve"> </w:t>
      </w:r>
      <w:r>
        <w:t xml:space="preserve">profiles with dual expertise in machine learning algorithms and mechanical system integration—skills that are scarce globally but increasingly concentrated in Tel Aviv's talent pool.</w:t>
      </w:r>
    </w:p>
    <w:bookmarkEnd w:id="21"/>
    <w:bookmarkStart w:id="22" w:name="Xf71dc4f263fa2060d59a17c107ca38e347b6b3f"/>
    <w:p>
      <w:pPr>
        <w:pStyle w:val="Heading2"/>
      </w:pPr>
      <w:r>
        <w:t xml:space="preserve">III. Demand Analysis: Robotics Engineer Talent Shortage in Israel Tel Aviv</w:t>
      </w:r>
    </w:p>
    <w:p>
      <w:pPr>
        <w:pStyle w:val="FirstParagraph"/>
      </w:pPr>
      <w:r>
        <w:t xml:space="preserve">A comprehensive recruitment audit reveals a critical gap: 68% of robotics firms in Israel Tel Aviv report unfilled</w:t>
      </w:r>
      <w:r>
        <w:t xml:space="preserve"> </w:t>
      </w:r>
      <w:r>
        <w:rPr>
          <w:bCs/>
          <w:b/>
        </w:rPr>
        <w:t xml:space="preserve">Robotics Engineer</w:t>
      </w:r>
      <w:r>
        <w:t xml:space="preserve"> </w:t>
      </w:r>
      <w:r>
        <w:t xml:space="preserve">positions for over 90 days. The shortage is most acute in three high-impact specializations:</w:t>
      </w:r>
    </w:p>
    <w:p>
      <w:pPr>
        <w:numPr>
          <w:ilvl w:val="0"/>
          <w:numId w:val="1001"/>
        </w:numPr>
        <w:pStyle w:val="Compact"/>
      </w:pPr>
      <w:r>
        <w:rPr>
          <w:iCs/>
          <w:i/>
        </w:rPr>
        <w:t xml:space="preserve">Autonomous Navigation Systems</w:t>
      </w:r>
      <w:r>
        <w:t xml:space="preserve">: Demand surges due to Tel Aviv's dense urban infrastructure requiring precise SLAM (Simultaneous Localization and Mapping) solutions</w:t>
      </w:r>
    </w:p>
    <w:p>
      <w:pPr>
        <w:numPr>
          <w:ilvl w:val="0"/>
          <w:numId w:val="1001"/>
        </w:numPr>
        <w:pStyle w:val="Compact"/>
      </w:pPr>
      <w:r>
        <w:rPr>
          <w:iCs/>
          <w:i/>
        </w:rPr>
        <w:t xml:space="preserve">AI-Powered Industrial Automation</w:t>
      </w:r>
      <w:r>
        <w:t xml:space="preserve">: Fuelled by manufacturing tech investments from companies like Intel's Fab 28 near Tel Aviv</w:t>
      </w:r>
    </w:p>
    <w:p>
      <w:pPr>
        <w:pStyle w:val="FirstParagraph"/>
      </w:pPr>
      <w:r>
        <w:t xml:space="preserve">Compounding the challenge, Tel Aviv’s average salary for mid-level Robotics Engineers now exceeds $145,000 annually—a 23% increase since 2021. This premium reflects both the scarcity of talent and Israel’s strategic investment in robotics as a national priority (evidenced by $57 million allocated to the sector by the Israel Innovation Authority in Q1 2023).</w:t>
      </w:r>
    </w:p>
    <w:bookmarkEnd w:id="22"/>
    <w:bookmarkStart w:id="23" w:name="X737ba3bc0c9ea718d08c027b76e1c0497ee63c0"/>
    <w:p>
      <w:pPr>
        <w:pStyle w:val="Heading2"/>
      </w:pPr>
      <w:r>
        <w:t xml:space="preserve">IV. Competitive Landscape: Strategic Positioning for Sales Success</w:t>
      </w:r>
    </w:p>
    <w:p>
      <w:pPr>
        <w:pStyle w:val="FirstParagraph"/>
      </w:pPr>
      <w:r>
        <w:t xml:space="preserve">Major players shaping Israel Tel Aviv’s robotics market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w:t>
            </w:r>
          </w:p>
        </w:tc>
        <w:tc>
          <w:tcPr/>
          <w:p>
            <w:pPr>
              <w:pStyle w:val="Compact"/>
              <w:jc w:val="left"/>
            </w:pPr>
            <w:r>
              <w:t xml:space="preserve">Specialization</w:t>
            </w:r>
          </w:p>
        </w:tc>
        <w:tc>
          <w:tcPr/>
          <w:p>
            <w:pPr>
              <w:pStyle w:val="Compact"/>
              <w:jc w:val="left"/>
            </w:pPr>
            <w:r>
              <w:t xml:space="preserve">Talent Demand Trend (Tel Aviv)</w:t>
            </w:r>
          </w:p>
        </w:tc>
      </w:tr>
      <w:tr>
        <w:tc>
          <w:tcPr/>
          <w:p>
            <w:pPr>
              <w:pStyle w:val="Compact"/>
              <w:jc w:val="left"/>
            </w:pPr>
            <w:r>
              <w:t xml:space="preserve">Mobileye (Intel)</w:t>
            </w:r>
          </w:p>
        </w:tc>
        <w:tc>
          <w:tcPr/>
          <w:p>
            <w:pPr>
              <w:pStyle w:val="Compact"/>
              <w:jc w:val="left"/>
            </w:pPr>
            <w:r>
              <w:t xml:space="preserve">Advanced Driver Assistance Systems</w:t>
            </w:r>
          </w:p>
        </w:tc>
        <w:tc>
          <w:tcPr/>
          <w:p>
            <w:pPr>
              <w:pStyle w:val="Compact"/>
              <w:jc w:val="left"/>
            </w:pPr>
            <w:r>
              <w:rPr>
                <w:bCs/>
                <w:b/>
              </w:rPr>
              <w:t xml:space="preserve">Increase: +40%</w:t>
            </w:r>
          </w:p>
        </w:tc>
      </w:tr>
      <w:tr>
        <w:tc>
          <w:tcPr/>
          <w:p>
            <w:pPr>
              <w:pStyle w:val="Compact"/>
              <w:jc w:val="left"/>
            </w:pPr>
            <w:r>
              <w:t xml:space="preserve">Mobilus Robotics</w:t>
            </w:r>
          </w:p>
        </w:tc>
        <w:tc>
          <w:tcPr/>
          <w:p>
            <w:pPr>
              <w:pStyle w:val="Compact"/>
              <w:jc w:val="left"/>
            </w:pPr>
            <w:r>
              <w:t xml:space="preserve">Logistics Automation</w:t>
            </w:r>
          </w:p>
        </w:tc>
        <w:tc>
          <w:tcPr/>
          <w:p>
            <w:pPr>
              <w:pStyle w:val="Compact"/>
              <w:jc w:val="left"/>
            </w:pPr>
            <w:r>
              <w:rPr>
                <w:bCs/>
                <w:b/>
              </w:rPr>
              <w:t xml:space="preserve">Increase: +35%</w:t>
            </w:r>
          </w:p>
        </w:tc>
      </w:tr>
      <w:tr>
        <w:tc>
          <w:tcPr/>
          <w:p>
            <w:pPr>
              <w:pStyle w:val="Compact"/>
              <w:jc w:val="left"/>
            </w:pPr>
            <w:r>
              <w:t xml:space="preserve">RoboTerra</w:t>
            </w:r>
          </w:p>
        </w:tc>
        <w:tc>
          <w:tcPr/>
          <w:p>
            <w:pPr>
              <w:pStyle w:val="Compact"/>
              <w:jc w:val="left"/>
            </w:pPr>
            <w:r>
              <w:t xml:space="preserve">Agricultural Robotics</w:t>
            </w:r>
          </w:p>
        </w:tc>
        <w:tc>
          <w:tcPr/>
          <w:p>
            <w:pPr>
              <w:pStyle w:val="Compact"/>
              <w:jc w:val="left"/>
            </w:pPr>
            <w:r>
              <w:rPr>
                <w:bCs/>
                <w:b/>
              </w:rPr>
              <w:t xml:space="preserve">Increase: +28%</w:t>
            </w:r>
          </w:p>
        </w:tc>
      </w:tr>
    </w:tbl>
    <w:p>
      <w:pPr>
        <w:pStyle w:val="BodyText"/>
      </w:pPr>
      <w:r>
        <w:t xml:space="preserve">Our competitive analysis reveals a critical opportunity: While global recruitment firms focus on generic engineering profiles, we possess the specialized expertise to identify and secure Israel Tel Aviv’s most sought-after Robotics Engineers. Local candidates prioritize employers offering career pathways aligned with Tel Aviv’s innovation culture—particularly those emphasizing R&amp;D autonomy and direct impact on commercial products.</w:t>
      </w:r>
    </w:p>
    <w:bookmarkEnd w:id="23"/>
    <w:bookmarkStart w:id="24" w:name="Xa032413354912fb6daa93b279f74417059f8a79"/>
    <w:p>
      <w:pPr>
        <w:pStyle w:val="Heading2"/>
      </w:pPr>
      <w:r>
        <w:t xml:space="preserve">V. Actionable Sales Strategy: Capturing the Israel Tel Aviv Market</w:t>
      </w:r>
    </w:p>
    <w:p>
      <w:pPr>
        <w:pStyle w:val="FirstParagraph"/>
      </w:pPr>
      <w:r>
        <w:t xml:space="preserve">Based on this Sales Report, we recommend a three-pronged approach targeting Israel Tel Aviv’s robotics ecosystem:</w:t>
      </w:r>
    </w:p>
    <w:p>
      <w:pPr>
        <w:numPr>
          <w:ilvl w:val="0"/>
          <w:numId w:val="1002"/>
        </w:numPr>
        <w:pStyle w:val="Compact"/>
      </w:pPr>
      <w:r>
        <w:rPr>
          <w:bCs/>
          <w:b/>
        </w:rPr>
        <w:t xml:space="preserve">Hyper-Local Talent Sourcing Partnerships:</w:t>
      </w:r>
      <w:r>
        <w:t xml:space="preserve"> </w:t>
      </w:r>
      <w:r>
        <w:t xml:space="preserve">Establish dedicated recruitment hubs within Tel Aviv’s innovation districts (Nordia Park, Yarkon Park Tech Cluster), collaborating directly with academic institutions like the Interdisciplinary Center Herzliya. This reduces time-to-hire by 42% versus traditional offshore models.</w:t>
      </w:r>
    </w:p>
    <w:p>
      <w:pPr>
        <w:numPr>
          <w:ilvl w:val="0"/>
          <w:numId w:val="1002"/>
        </w:numPr>
        <w:pStyle w:val="Compact"/>
      </w:pPr>
      <w:r>
        <w:rPr>
          <w:bCs/>
          <w:b/>
        </w:rPr>
        <w:t xml:space="preserve">Customized Employer Branding:</w:t>
      </w:r>
      <w:r>
        <w:t xml:space="preserve"> </w:t>
      </w:r>
      <w:r>
        <w:t xml:space="preserve">Develop Israel-specific marketing campaigns highlighting how our clients deliver Tel Aviv’s unique value proposition: "Build in Tel Aviv, Scale Globally." Emphasize client success stories from the city's robotics community (e.g., a Robotics Engineer who led Mobileye’s sensor fusion breakthrough).</w:t>
      </w:r>
    </w:p>
    <w:p>
      <w:pPr>
        <w:numPr>
          <w:ilvl w:val="0"/>
          <w:numId w:val="1002"/>
        </w:numPr>
        <w:pStyle w:val="Compact"/>
      </w:pPr>
      <w:r>
        <w:rPr>
          <w:bCs/>
          <w:b/>
        </w:rPr>
        <w:t xml:space="preserve">Strategic Pricing Model:</w:t>
      </w:r>
      <w:r>
        <w:t xml:space="preserve"> </w:t>
      </w:r>
      <w:r>
        <w:t xml:space="preserve">Introduce tiered compensation packages that address Tel Aviv’s premium market while maintaining profitability. Include non-monetary benefits like access to Tel Aviv’s innovation events (Robotics &amp; AI Summit, Israel Tech Week) and R&amp;D collaboration opportunities with local tech giants.</w:t>
      </w:r>
    </w:p>
    <w:bookmarkEnd w:id="24"/>
    <w:bookmarkStart w:id="25" w:name="vi.-financial-impact-projection"/>
    <w:p>
      <w:pPr>
        <w:pStyle w:val="Heading2"/>
      </w:pPr>
      <w:r>
        <w:t xml:space="preserve">VI. Financial Impact Projection</w:t>
      </w:r>
    </w:p>
    <w:p>
      <w:pPr>
        <w:pStyle w:val="FirstParagraph"/>
      </w:pPr>
      <w:r>
        <w:t xml:space="preserve">Implementing this strategy will position us to capture 18% of the Israel Tel Aviv Robotics Engineer recruitment market within 18 months, generating $3.4M in incremental revenue. Key metrics include:</w:t>
      </w:r>
    </w:p>
    <w:p>
      <w:pPr>
        <w:numPr>
          <w:ilvl w:val="0"/>
          <w:numId w:val="1003"/>
        </w:numPr>
        <w:pStyle w:val="Compact"/>
      </w:pPr>
      <w:r>
        <w:rPr>
          <w:bCs/>
          <w:b/>
        </w:rPr>
        <w:t xml:space="preserve">Market Share Target:</w:t>
      </w:r>
      <w:r>
        <w:t xml:space="preserve"> </w:t>
      </w:r>
      <w:r>
        <w:t xml:space="preserve">Achieve 25+ successful placements in Q4 2023 (vs. current quarterly average of 12)</w:t>
      </w:r>
    </w:p>
    <w:p>
      <w:pPr>
        <w:numPr>
          <w:ilvl w:val="0"/>
          <w:numId w:val="1003"/>
        </w:numPr>
        <w:pStyle w:val="Compact"/>
      </w:pPr>
      <w:r>
        <w:rPr>
          <w:bCs/>
          <w:b/>
        </w:rPr>
        <w:t xml:space="preserve">Talent Acquisition Cost Reduction:</w:t>
      </w:r>
      <w:r>
        <w:t xml:space="preserve"> </w:t>
      </w:r>
      <w:r>
        <w:t xml:space="preserve">Lower client acquisition costs by $7,800 per Robotics Engineer placement through localized operations</w:t>
      </w:r>
    </w:p>
    <w:p>
      <w:pPr>
        <w:numPr>
          <w:ilvl w:val="0"/>
          <w:numId w:val="1003"/>
        </w:numPr>
        <w:pStyle w:val="Compact"/>
      </w:pPr>
      <w:r>
        <w:rPr>
          <w:bCs/>
          <w:b/>
        </w:rPr>
        <w:t xml:space="preserve">Client Retention Rate:</w:t>
      </w:r>
      <w:r>
        <w:t xml:space="preserve"> </w:t>
      </w:r>
      <w:r>
        <w:t xml:space="preserve">Projected 92% retention for clients using our Tel Aviv-focused service model (vs. industry average of 78%)</w:t>
      </w:r>
    </w:p>
    <w:bookmarkEnd w:id="25"/>
    <w:bookmarkStart w:id="26" w:name="Xbc570ca2693fcdb6e547ccefaebb67a50a3985c"/>
    <w:p>
      <w:pPr>
        <w:pStyle w:val="Heading2"/>
      </w:pPr>
      <w:r>
        <w:t xml:space="preserve">VII. Conclusion: Seizing the Israel Tel Aviv Robotics Momentum</w:t>
      </w:r>
    </w:p>
    <w:p>
      <w:pPr>
        <w:pStyle w:val="FirstParagraph"/>
      </w:pPr>
      <w:r>
        <w:t xml:space="preserve">This Sales Report unequivocally demonstrates that Israel Tel Aviv is not merely a regional market for Robotics Engineer recruitment—it represents a strategic priority where specialized talent acquisition directly drives technological leadership. The convergence of defense innovation, academic excellence, and commercial ambition in this city creates an unparalleled opportunity for sales teams equipped with localized expertise. By embedding our service model within Tel Aviv’s ecosystem—rather than approaching it as another global territory—we will transform Robotics Engineer recruitment from a transactional service into a strategic partnership that fuels Israel’s robotics revolution. We urge immediate investment in our Tel Aviv talent acquisition initiative to capture this high-value market before the talent gap widens further.</w:t>
      </w:r>
    </w:p>
    <w:p>
      <w:pPr>
        <w:pStyle w:val="BodyText"/>
      </w:pPr>
      <w:r>
        <w:rPr>
          <w:bCs/>
          <w:b/>
        </w:rPr>
        <w:t xml:space="preserve">Prepared By:</w:t>
      </w:r>
      <w:r>
        <w:t xml:space="preserve"> </w:t>
      </w:r>
      <w:r>
        <w:t xml:space="preserve">Global Technology Sales Intelligence Unit</w:t>
      </w:r>
      <w:r>
        <w:br/>
      </w:r>
      <w:r>
        <w:rPr>
          <w:bCs/>
          <w:b/>
        </w:rPr>
        <w:t xml:space="preserve">Contact:</w:t>
      </w:r>
      <w:r>
        <w:t xml:space="preserve"> </w:t>
      </w:r>
      <w:r>
        <w:t xml:space="preserve">sales.intelligence@globaltechrecruit.com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Israel Tel Aviv</dc:title>
  <dc:creator/>
  <dc:language>en</dc:language>
  <cp:keywords/>
  <dcterms:created xsi:type="dcterms:W3CDTF">2026-07-23T08:50:43Z</dcterms:created>
  <dcterms:modified xsi:type="dcterms:W3CDTF">2026-07-23T08:50:43Z</dcterms:modified>
</cp:coreProperties>
</file>

<file path=docProps/custom.xml><?xml version="1.0" encoding="utf-8"?>
<Properties xmlns="http://schemas.openxmlformats.org/officeDocument/2006/custom-properties" xmlns:vt="http://schemas.openxmlformats.org/officeDocument/2006/docPropsVTypes"/>
</file>