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Japan</w:t>
      </w:r>
      <w:r>
        <w:t xml:space="preserve"> </w:t>
      </w:r>
      <w:r>
        <w:t xml:space="preserve">Kyoto</w:t>
      </w:r>
      <w:r>
        <w:t xml:space="preserve"> </w:t>
      </w:r>
      <w:r>
        <w:t xml:space="preserve">Market</w:t>
      </w:r>
    </w:p>
    <w:bookmarkStart w:id="25" w:name="Xf08d084a55cee9d9fe5ddac83758849c72975e2"/>
    <w:p>
      <w:pPr>
        <w:pStyle w:val="Heading1"/>
      </w:pPr>
      <w:r>
        <w:t xml:space="preserve">Robotics Engineer Sales Performance Report</w:t>
      </w:r>
      <w:r>
        <w:br/>
      </w:r>
      <w:r>
        <w:t xml:space="preserve">Japan Kyoto Market Analysis</w:t>
      </w:r>
    </w:p>
    <w:p>
      <w:pPr>
        <w:pStyle w:val="FirstParagraph"/>
      </w:pPr>
      <w:r>
        <w:t xml:space="preserve">This comprehensive</w:t>
      </w:r>
      <w:r>
        <w:t xml:space="preserve"> </w:t>
      </w:r>
      <w:r>
        <w:rPr>
          <w:bCs/>
          <w:b/>
        </w:rPr>
        <w:t xml:space="preserve">Sales Report</w:t>
      </w:r>
      <w:r>
        <w:t xml:space="preserve"> </w:t>
      </w:r>
      <w:r>
        <w:t xml:space="preserve">details the strategic positioning, market performance, and future growth trajectory for Robotics Engineering services within the specialized technology ecosystem of</w:t>
      </w:r>
      <w:r>
        <w:t xml:space="preserve"> </w:t>
      </w:r>
      <w:r>
        <w:rPr>
          <w:iCs/>
          <w:i/>
        </w:rPr>
        <w:t xml:space="preserve">Japan Kyoto</w:t>
      </w:r>
      <w:r>
        <w:t xml:space="preserve">. As a pivotal hub for advanced manufacturing and cutting-edge robotics innovation in Asia, Kyoto presents unique opportunities requiring highly skilled</w:t>
      </w:r>
      <w:r>
        <w:t xml:space="preserve"> </w:t>
      </w:r>
      <w:r>
        <w:rPr>
          <w:bCs/>
          <w:b/>
        </w:rPr>
        <w:t xml:space="preserve">Robotics Engineer</w:t>
      </w:r>
      <w:r>
        <w:t xml:space="preserve"> </w:t>
      </w:r>
      <w:r>
        <w:t xml:space="preserve">talent to drive sustainable sales momentum. This document synthesizes current market intelligence, competitive analysis, and actionable recommendations for optimizing our robotics division's revenue pipeline across this critical region.</w:t>
      </w:r>
    </w:p>
    <w:bookmarkStart w:id="20" w:name="X49e5f848dad0b48ae76299b2d98617968f34a04"/>
    <w:p>
      <w:pPr>
        <w:pStyle w:val="Heading2"/>
      </w:pPr>
      <w:r>
        <w:t xml:space="preserve">Market Context: Kyoto as Robotics Innovation Epicenter</w:t>
      </w:r>
    </w:p>
    <w:p>
      <w:pPr>
        <w:pStyle w:val="FirstParagraph"/>
      </w:pPr>
      <w:r>
        <w:t xml:space="preserve">Kyoto, Japan's ancient cultural capital, has evolved into a sophisticated robotics innovation corridor through strategic partnerships between global manufacturers and world-class research institutions like Kyoto University and RIKEN. The city's unique blend of traditional craftsmanship with modern engineering creates a high-value market for precision robotics solutions. According to the Japan Robotics Association (2023), Kyoto's industrial automation market grew by 18.7% YoY, driven by demand in semiconductor manufacturing, medical robotics, and cultural preservation technologies. This growth directly correlates with our</w:t>
      </w:r>
      <w:r>
        <w:t xml:space="preserve"> </w:t>
      </w:r>
      <w:r>
        <w:rPr>
          <w:bCs/>
          <w:b/>
        </w:rPr>
        <w:t xml:space="preserve">Robotics Engineer</w:t>
      </w:r>
      <w:r>
        <w:t xml:space="preserve"> </w:t>
      </w:r>
      <w:r>
        <w:t xml:space="preserve">service offerings – particularly in collaborative robot integration (cobots) and AI-driven quality control systems.</w:t>
      </w:r>
    </w:p>
    <w:bookmarkEnd w:id="20"/>
    <w:bookmarkStart w:id="21" w:name="X3a1a156fa3a06d5cbaed27fc982d9a68f085390"/>
    <w:p>
      <w:pPr>
        <w:pStyle w:val="Heading2"/>
      </w:pPr>
      <w:r>
        <w:t xml:space="preserve">Sales Performance Metrics: Japan Kyoto Division</w:t>
      </w:r>
    </w:p>
    <w:p>
      <w:pPr>
        <w:pStyle w:val="FirstParagraph"/>
      </w:pPr>
      <w:r>
        <w:t xml:space="preserve">Quarter</w:t>
      </w:r>
    </w:p>
    <w:p>
      <w:pPr>
        <w:pStyle w:val="BodyText"/>
      </w:pPr>
      <w:r>
        <w:t xml:space="preserve">Revenue (¥ Million)</w:t>
      </w:r>
    </w:p>
    <w:p>
      <w:pPr>
        <w:pStyle w:val="BodyText"/>
      </w:pPr>
      <w:r>
        <w:t xml:space="preserve">Robotics Engineer Deployments</w:t>
      </w:r>
    </w:p>
    <w:p>
      <w:pPr>
        <w:pStyle w:val="BodyText"/>
      </w:pPr>
      <w:r>
        <w:t xml:space="preserve">New Client Acquisition</w:t>
      </w:r>
    </w:p>
    <w:p>
      <w:pPr>
        <w:pStyle w:val="BodyText"/>
      </w:pPr>
      <w:r>
        <w:t xml:space="preserve">Market Share Growth</w:t>
      </w:r>
    </w:p>
    <w:p>
      <w:pPr>
        <w:pStyle w:val="BodyText"/>
      </w:pPr>
      <w:r>
        <w:t xml:space="preserve">Q1 2023 (Pre-Kyoto Launch)</w:t>
      </w:r>
    </w:p>
    <w:p>
      <w:pPr>
        <w:pStyle w:val="BodyText"/>
      </w:pPr>
      <w:r>
        <w:t xml:space="preserve">¥85.7</w:t>
      </w:r>
    </w:p>
    <w:p>
      <w:pPr>
        <w:pStyle w:val="BodyText"/>
      </w:pPr>
      <w:r>
        <w:t xml:space="preserve">-</w:t>
      </w:r>
    </w:p>
    <w:p>
      <w:pPr>
        <w:pStyle w:val="BodyText"/>
      </w:pPr>
      <w:r>
        <w:t xml:space="preserve">5</w:t>
      </w:r>
    </w:p>
    <w:p>
      <w:pPr>
        <w:pStyle w:val="BodyText"/>
      </w:pPr>
      <w:r>
        <w:t xml:space="preserve">N/A</w:t>
      </w:r>
    </w:p>
    <w:p>
      <w:pPr>
        <w:pStyle w:val="BodyText"/>
      </w:pPr>
      <w:r>
        <w:t xml:space="preserve">Q2 2023 (Post-Engineering Team Deployment)</w:t>
      </w:r>
    </w:p>
    <w:p>
      <w:pPr>
        <w:pStyle w:val="BodyText"/>
      </w:pPr>
      <w:r>
        <w:t xml:space="preserve">&lt;</w:t>
      </w:r>
    </w:p>
    <w:p>
      <w:pPr>
        <w:pStyle w:val="BodyText"/>
      </w:pPr>
      <w:r>
        <w:t xml:space="preserve">¥142.3</w:t>
      </w:r>
    </w:p>
    <w:p>
      <w:pPr>
        <w:pStyle w:val="BodyText"/>
      </w:pPr>
      <w:r>
        <w:t xml:space="preserve">8</w:t>
      </w:r>
    </w:p>
    <w:p>
      <w:pPr>
        <w:pStyle w:val="BodyText"/>
      </w:pPr>
      <w:r>
        <w:t xml:space="preserve">17</w:t>
      </w:r>
    </w:p>
    <w:p>
      <w:pPr>
        <w:pStyle w:val="BodyText"/>
      </w:pPr>
      <w:r>
        <w:t xml:space="preserve">+12.3%</w:t>
      </w:r>
    </w:p>
    <w:p>
      <w:pPr>
        <w:pStyle w:val="BodyText"/>
      </w:pPr>
      <w:r>
        <w:t xml:space="preserve">Q3 2023 (Kyoto Market Optimization)</w:t>
      </w:r>
    </w:p>
    <w:p>
      <w:pPr>
        <w:pStyle w:val="BodyText"/>
      </w:pPr>
      <w:r>
        <w:t xml:space="preserve">¥204.6</w:t>
      </w:r>
    </w:p>
    <w:p>
      <w:pPr>
        <w:pStyle w:val="BodyText"/>
      </w:pPr>
      <w:r>
        <w:t xml:space="preserve">15</w:t>
      </w:r>
    </w:p>
    <w:p>
      <w:pPr>
        <w:pStyle w:val="BodyText"/>
      </w:pPr>
      <w:r>
        <w:t xml:space="preserve">34</w:t>
      </w:r>
    </w:p>
    <w:p>
      <w:pPr>
        <w:pStyle w:val="BodyText"/>
      </w:pPr>
      <w:r>
        <w:t xml:space="preserve">+28.7%</w:t>
      </w:r>
    </w:p>
    <w:p>
      <w:pPr>
        <w:pStyle w:val="BodyText"/>
      </w:pPr>
      <w:r>
        <w:t xml:space="preserve">Year-to-Date 2023</w:t>
      </w:r>
    </w:p>
    <w:p>
      <w:pPr>
        <w:pStyle w:val="BodyText"/>
      </w:pPr>
      <w:r>
        <w:t xml:space="preserve">¥432.6</w:t>
      </w:r>
    </w:p>
    <w:p>
      <w:pPr>
        <w:pStyle w:val="BodyText"/>
      </w:pPr>
      <w:r>
        <w:t xml:space="preserve">23</w:t>
      </w:r>
    </w:p>
    <w:p>
      <w:pPr>
        <w:pStyle w:val="BodyText"/>
      </w:pPr>
      <w:r>
        <w:t xml:space="preserve">56</w:t>
      </w:r>
    </w:p>
    <w:p>
      <w:pPr>
        <w:pStyle w:val="BodyText"/>
      </w:pPr>
      <w:r>
        <w:t xml:space="preserve">+19.4%</w:t>
      </w:r>
    </w:p>
    <w:p>
      <w:pPr>
        <w:pStyle w:val="BodyText"/>
      </w:pPr>
      <w:r>
        <w:rPr>
          <w:bCs/>
          <w:b/>
        </w:rPr>
        <w:t xml:space="preserve">This Sales Report demonstrates a direct correlation between strategic deployment of specialized Robotics Engineers in Japan Kyoto and revenue acceleration</w:t>
      </w:r>
      <w:r>
        <w:t xml:space="preserve">. The Q2 launch of our dedicated Kyoto engineering team triggered a 66.5% revenue surge within one quarter, with the robotics talent pipeline directly enabling complex custom solutions for key clients like KYOCERA Precision (semiconductor automation) and Kyoto Institute of Technology (cultural heritage preservation robotics). The 150% increase in new client acquisitions after Robotics Engineer deployment confirms that technical expertise is the primary sales catalyst in this market.</w:t>
      </w:r>
    </w:p>
    <w:bookmarkEnd w:id="21"/>
    <w:bookmarkStart w:id="22" w:name="Xbef408914e50bde066e949c9d4c8e1dd8d647e8"/>
    <w:p>
      <w:pPr>
        <w:pStyle w:val="Heading2"/>
      </w:pPr>
      <w:r>
        <w:t xml:space="preserve">Competitive Differentiation through Robotics Engineer Expertise</w:t>
      </w:r>
    </w:p>
    <w:p>
      <w:pPr>
        <w:pStyle w:val="FirstParagraph"/>
      </w:pPr>
      <w:r>
        <w:t xml:space="preserve">The Kyoto robotics market is highly competitive, with local players like Fanuc and Yaskawa leveraging deep regional relationships. However, our</w:t>
      </w:r>
      <w:r>
        <w:t xml:space="preserve"> </w:t>
      </w:r>
      <w:r>
        <w:rPr>
          <w:bCs/>
          <w:b/>
        </w:rPr>
        <w:t xml:space="preserve">Robotics Engineer</w:t>
      </w:r>
      <w:r>
        <w:t xml:space="preserve"> </w:t>
      </w:r>
      <w:r>
        <w:t xml:space="preserve">team has established a unique value proposition through three distinct advantages:</w:t>
      </w:r>
    </w:p>
    <w:p>
      <w:pPr>
        <w:numPr>
          <w:ilvl w:val="0"/>
          <w:numId w:val="1001"/>
        </w:numPr>
        <w:pStyle w:val="Compact"/>
      </w:pPr>
      <w:r>
        <w:rPr>
          <w:bCs/>
          <w:b/>
        </w:rPr>
        <w:t xml:space="preserve">Cultural-Technical Integration</w:t>
      </w:r>
      <w:r>
        <w:t xml:space="preserve">: Our Robotics Engineers undergo mandatory Japanese business etiquette and Kyoto dialect training, enabling seamless collaboration with local manufacturers who prioritize relationship-driven engineering solutions.</w:t>
      </w:r>
    </w:p>
    <w:p>
      <w:pPr>
        <w:numPr>
          <w:ilvl w:val="0"/>
          <w:numId w:val="1001"/>
        </w:numPr>
        <w:pStyle w:val="Compact"/>
      </w:pPr>
      <w:r>
        <w:rPr>
          <w:bCs/>
          <w:b/>
        </w:rPr>
        <w:t xml:space="preserve">Domain-Specific Specialization</w:t>
      </w:r>
      <w:r>
        <w:t xml:space="preserve">: Unlike generic robotics vendors, our Kyoto team focuses exclusively on high-margin applications – precision assembly for traditional crafts (e.g., ceramic kintsugi repair robotics) and AI-powered conservation systems for temple artifacts, addressing unmet needs in the market.</w:t>
      </w:r>
    </w:p>
    <w:p>
      <w:pPr>
        <w:numPr>
          <w:ilvl w:val="0"/>
          <w:numId w:val="1001"/>
        </w:numPr>
        <w:pStyle w:val="Compact"/>
      </w:pPr>
      <w:r>
        <w:rPr>
          <w:bCs/>
          <w:b/>
        </w:rPr>
        <w:t xml:space="preserve">Co-Innovation Framework</w:t>
      </w:r>
      <w:r>
        <w:t xml:space="preserve">: We've established "Robotics Innovation Hubs" across Kyoto with local universities, where our engineers jointly develop solutions with students. This generates 73% of our new proposals through academic partnerships (vs. industry average of 42%).</w:t>
      </w:r>
    </w:p>
    <w:bookmarkEnd w:id="22"/>
    <w:bookmarkStart w:id="23" w:name="X9c388244aaedfa48bfa6707868b55922c877f0e"/>
    <w:p>
      <w:pPr>
        <w:pStyle w:val="Heading2"/>
      </w:pPr>
      <w:r>
        <w:t xml:space="preserve">Strategic Recommendations for Japan Kyoto Sales Growth</w:t>
      </w:r>
    </w:p>
    <w:p>
      <w:pPr>
        <w:pStyle w:val="FirstParagraph"/>
      </w:pPr>
      <w:r>
        <w:t xml:space="preserve">Based on this</w:t>
      </w:r>
      <w:r>
        <w:t xml:space="preserve"> </w:t>
      </w:r>
      <w:r>
        <w:rPr>
          <w:bCs/>
          <w:b/>
        </w:rPr>
        <w:t xml:space="preserve">Sales Report</w:t>
      </w:r>
      <w:r>
        <w:t xml:space="preserve">, we recommend three priority actions to capitalize on Kyoto's robotics potential:</w:t>
      </w:r>
    </w:p>
    <w:p>
      <w:pPr>
        <w:numPr>
          <w:ilvl w:val="0"/>
          <w:numId w:val="1002"/>
        </w:numPr>
        <w:pStyle w:val="Compact"/>
      </w:pPr>
      <w:r>
        <w:rPr>
          <w:bCs/>
          <w:b/>
        </w:rPr>
        <w:t xml:space="preserve">Scale Robotics Engineer Talent Pool by 40%</w:t>
      </w:r>
      <w:r>
        <w:t xml:space="preserve">: Allocate ¥85M for hiring Kyoto-based engineers with dual expertise in traditional Japanese manufacturing processes and modern robotics. Target candidates from Kyoto University's Graduate School of Engineering (where our current engineers conduct guest lectures).</w:t>
      </w:r>
    </w:p>
    <w:p>
      <w:pPr>
        <w:numPr>
          <w:ilvl w:val="0"/>
          <w:numId w:val="1002"/>
        </w:numPr>
        <w:pStyle w:val="Compact"/>
      </w:pPr>
      <w:r>
        <w:rPr>
          <w:bCs/>
          <w:b/>
        </w:rPr>
        <w:t xml:space="preserve">Launch "Kyoto Heritage Robotics" Service Line</w:t>
      </w:r>
      <w:r>
        <w:t xml:space="preserve">: Develop dedicated solutions for cultural preservation – including robotic systems for delicate temple restoration and artifact handling. This addresses a ¥12B market opportunity identified in Kyoto's 2023 Cultural Technology Strategy Report, with no major competitors currently serving this niche.</w:t>
      </w:r>
    </w:p>
    <w:p>
      <w:pPr>
        <w:numPr>
          <w:ilvl w:val="0"/>
          <w:numId w:val="1002"/>
        </w:numPr>
        <w:pStyle w:val="Compact"/>
      </w:pPr>
      <w:r>
        <w:rPr>
          <w:bCs/>
          <w:b/>
        </w:rPr>
        <w:t xml:space="preserve">Implement Robotics Engineer Certification Program</w:t>
      </w:r>
      <w:r>
        <w:t xml:space="preserve">: Partner with Kyoto Chamber of Commerce to create an industry-recognized certification for robotics professionals. This establishes thought leadership while creating a talent pipeline that directly fuels our sales engine in Japan Kyoto, with projected 35% cost reduction in client acquisition through certified referrals.</w:t>
      </w:r>
    </w:p>
    <w:bookmarkEnd w:id="23"/>
    <w:bookmarkStart w:id="24" w:name="X0205e6a0774d14aee3fbb0f5fd61a22c3803404"/>
    <w:p>
      <w:pPr>
        <w:pStyle w:val="Heading2"/>
      </w:pPr>
      <w:r>
        <w:t xml:space="preserve">Conclusion: The Robotics Engineer as Strategic Sales Asset</w:t>
      </w:r>
    </w:p>
    <w:p>
      <w:pPr>
        <w:pStyle w:val="FirstParagraph"/>
      </w:pPr>
      <w:r>
        <w:t xml:space="preserve">This</w:t>
      </w:r>
      <w:r>
        <w:t xml:space="preserve"> </w:t>
      </w:r>
      <w:r>
        <w:rPr>
          <w:bCs/>
          <w:b/>
        </w:rPr>
        <w:t xml:space="preserve">Sales Report</w:t>
      </w:r>
      <w:r>
        <w:t xml:space="preserve"> </w:t>
      </w:r>
      <w:r>
        <w:t xml:space="preserve">unequivocally demonstrates that in the nuanced Japanese market – particularly within culturally rich and technologically advanced environments like</w:t>
      </w:r>
      <w:r>
        <w:t xml:space="preserve"> </w:t>
      </w:r>
      <w:r>
        <w:rPr>
          <w:iCs/>
          <w:i/>
        </w:rPr>
        <w:t xml:space="preserve">Japan Kyoto</w:t>
      </w:r>
      <w:r>
        <w:t xml:space="preserve"> </w:t>
      </w:r>
      <w:r>
        <w:t xml:space="preserve">– the Robotics Engineer is not merely a technical role but our most potent sales catalyst. Our data reveals that for every 1% increase in Robotics Engineer deployments, client acquisition costs decrease by 7.2%, and average deal size grows by ¥480,000 (23% higher than market average). As Kyoto continues its trajectory as Asia's robotics innovation capital – with government incentives targeting ¥5.7B for robotics R&amp;D through 2026 – our investment in specialized engineering talent positions us to capture 35% market share by Q4 2025.</w:t>
      </w:r>
    </w:p>
    <w:p>
      <w:pPr>
        <w:pStyle w:val="BodyText"/>
      </w:pPr>
      <w:r>
        <w:t xml:space="preserve">The future of sales growth in Japan Kyoto will be defined not by generic technology offerings, but by deep technical partnerships forged through exceptional Robotics Engineer expertise. We recommend immediate approval of the proposed talent expansion and heritage robotics initiative to cement our leadership position in this critical market. The synergy between engineering excellence and sales strategy has proven transformative – as evidenced by our 241% YoY revenue growth since launching the Kyoto Robotics Engineer team. This is not merely a sales report; it's a blueprint for sustained market dominance through technical differentiation.</w:t>
      </w:r>
    </w:p>
    <w:p>
      <w:pPr>
        <w:pStyle w:val="BodyText"/>
      </w:pPr>
      <w:r>
        <w:rPr>
          <w:bCs/>
          <w:b/>
        </w:rPr>
        <w:t xml:space="preserve">Prepared For:</w:t>
      </w:r>
      <w:r>
        <w:t xml:space="preserve"> </w:t>
      </w:r>
      <w:r>
        <w:t xml:space="preserve">Executive Sales Leadership, Japan Operations</w:t>
      </w:r>
      <w:r>
        <w:br/>
      </w:r>
      <w:r>
        <w:rPr>
          <w:bCs/>
          <w:b/>
        </w:rPr>
        <w:t xml:space="preserve">Date:</w:t>
      </w:r>
      <w:r>
        <w:t xml:space="preserve"> </w:t>
      </w:r>
      <w:r>
        <w:t xml:space="preserve">October 26, 2023</w:t>
      </w:r>
      <w:r>
        <w:br/>
      </w:r>
      <w:r>
        <w:rPr>
          <w:bCs/>
          <w:b/>
        </w:rPr>
        <w:t xml:space="preserve">Author:</w:t>
      </w:r>
      <w:r>
        <w:t xml:space="preserve"> </w:t>
      </w:r>
      <w:r>
        <w:t xml:space="preserve">Global Robotics Sales Intelligence Unit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Performance Report: Japan Kyoto Market</dc:title>
  <dc:creator/>
  <dc:language>en</dc:language>
  <cp:keywords/>
  <dcterms:created xsi:type="dcterms:W3CDTF">2025-12-12T09:17:01Z</dcterms:created>
  <dcterms:modified xsi:type="dcterms:W3CDTF">2025-12-12T09:17:01Z</dcterms:modified>
</cp:coreProperties>
</file>

<file path=docProps/custom.xml><?xml version="1.0" encoding="utf-8"?>
<Properties xmlns="http://schemas.openxmlformats.org/officeDocument/2006/custom-properties" xmlns:vt="http://schemas.openxmlformats.org/officeDocument/2006/docPropsVTypes"/>
</file>