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Netherlands</w:t>
      </w:r>
      <w:r>
        <w:t xml:space="preserve"> </w:t>
      </w:r>
      <w:r>
        <w:t xml:space="preserve">Amsterdam</w:t>
      </w:r>
    </w:p>
    <w:bookmarkStart w:id="31" w:name="X004d50457e2e1335e294a101361f3f1caaff8d9"/>
    <w:p>
      <w:pPr>
        <w:pStyle w:val="Heading1"/>
      </w:pPr>
      <w:r>
        <w:t xml:space="preserve">Comprehensive Sales Report: Robotics Engineer Talent Strategy &amp; Market Performance in Netherlands Amsterdam</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Netherlands Amsterdam Operations</w:t>
      </w:r>
    </w:p>
    <w:bookmarkStart w:id="20" w:name="i.-executive-summary"/>
    <w:p>
      <w:pPr>
        <w:pStyle w:val="Heading2"/>
      </w:pPr>
      <w:r>
        <w:t xml:space="preserve">I. Executive Summary</w:t>
      </w:r>
    </w:p>
    <w:p>
      <w:pPr>
        <w:pStyle w:val="FirstParagraph"/>
      </w:pPr>
      <w:r>
        <w:t xml:space="preserve">This Sales Report details the strategic integration of Robotics Engineer talent within our growth framework across Netherlands Amsterdam. The region has emerged as a pivotal hub for robotics innovation in Europe, directly correlating with our 34% year-over-year revenue growth in Q3 2023. Our analysis confirms that specialized Robotics Engineer recruitment and retention are not merely operational necessities but the primary drivers of sales pipeline expansion, client acquisition, and market differentiation in the Dutch tech ecosystem.</w:t>
      </w:r>
    </w:p>
    <w:bookmarkEnd w:id="20"/>
    <w:bookmarkStart w:id="22" w:name="Xe7ea5d506eadd3ece70d372891be5ad69073b68"/>
    <w:p>
      <w:pPr>
        <w:pStyle w:val="Heading2"/>
      </w:pPr>
      <w:r>
        <w:t xml:space="preserve">II. Netherlands Amsterdam: The Epicenter for Robotics Sales Acceleration</w:t>
      </w:r>
    </w:p>
    <w:p>
      <w:pPr>
        <w:pStyle w:val="FirstParagraph"/>
      </w:pPr>
      <w:r>
        <w:t xml:space="preserve">Netherlands Amsterdam represents a uniquely advantageous market for robotics sales due to its strategic triad: world-class technical universities (TU Delft, VU Amsterdam), EU regulatory leadership, and unparalleled logistics infrastructure. Our sales data reveals that 78% of new enterprise contracts in Q3 originated from the Netherlands region – a direct result of localized Robotics Engineer expertise enabling rapid prototyping and solution customization for Dutch industrial clients. Unlike generic tech hubs, Amsterdam’s robotics ecosystem demands engineers who understand European safety standards (ISO/TS 15066), supply chain complexities, and the cultural nuances of Dutch business operations – precisely the talent we deploy in sales engineering roles.</w:t>
      </w:r>
    </w:p>
    <w:bookmarkStart w:id="21" w:name="key-regional-market-indicators"/>
    <w:p>
      <w:pPr>
        <w:pStyle w:val="Heading3"/>
      </w:pPr>
      <w:r>
        <w:t xml:space="preserve">Key Regional Market Indicators:</w:t>
      </w:r>
    </w:p>
    <w:p>
      <w:pPr>
        <w:numPr>
          <w:ilvl w:val="0"/>
          <w:numId w:val="1001"/>
        </w:numPr>
        <w:pStyle w:val="Compact"/>
      </w:pPr>
      <w:r>
        <w:rPr>
          <w:bCs/>
          <w:b/>
        </w:rPr>
        <w:t xml:space="preserve">Market Growth:</w:t>
      </w:r>
      <w:r>
        <w:t xml:space="preserve"> </w:t>
      </w:r>
      <w:r>
        <w:t xml:space="preserve">Amsterdam robotics market expanding at 21.4% CAGR (2023-2028), outpacing global average by 9.6%</w:t>
      </w:r>
    </w:p>
    <w:p>
      <w:pPr>
        <w:numPr>
          <w:ilvl w:val="0"/>
          <w:numId w:val="1001"/>
        </w:numPr>
        <w:pStyle w:val="Compact"/>
      </w:pPr>
      <w:r>
        <w:rPr>
          <w:bCs/>
          <w:b/>
        </w:rPr>
        <w:t xml:space="preserve">Client Demand:</w:t>
      </w:r>
      <w:r>
        <w:t xml:space="preserve"> </w:t>
      </w:r>
      <w:r>
        <w:t xml:space="preserve">157 new RFPs received in Q3, with "local engineering capability" ranked #1 selection criterion by 68% of decision-makers</w:t>
      </w:r>
    </w:p>
    <w:p>
      <w:pPr>
        <w:numPr>
          <w:ilvl w:val="0"/>
          <w:numId w:val="1001"/>
        </w:numPr>
        <w:pStyle w:val="Compact"/>
      </w:pPr>
      <w:r>
        <w:rPr>
          <w:bCs/>
          <w:b/>
        </w:rPr>
        <w:t xml:space="preserve">Competitive Edge:</w:t>
      </w:r>
      <w:r>
        <w:t xml:space="preserve"> </w:t>
      </w:r>
      <w:r>
        <w:t xml:space="preserve">Clients confirm our Robotics Engineer-led sales approach increases conversion rates by 42% versus competitors using offshore technical teams</w:t>
      </w:r>
    </w:p>
    <w:bookmarkEnd w:id="21"/>
    <w:bookmarkEnd w:id="22"/>
    <w:bookmarkStart w:id="24" w:name="X6f86a43498b55c86b58dd4c50638e16c6b38a7d"/>
    <w:p>
      <w:pPr>
        <w:pStyle w:val="Heading2"/>
      </w:pPr>
      <w:r>
        <w:t xml:space="preserve">III. Robotics Engineer: The Sales Catalyst in Amsterdam Operations</w:t>
      </w:r>
    </w:p>
    <w:p>
      <w:pPr>
        <w:pStyle w:val="FirstParagraph"/>
      </w:pPr>
      <w:r>
        <w:t xml:space="preserve">This report underscores that the role of a</w:t>
      </w:r>
      <w:r>
        <w:t xml:space="preserve"> </w:t>
      </w:r>
      <w:r>
        <w:rPr>
          <w:iCs/>
          <w:i/>
        </w:rPr>
        <w:t xml:space="preserve">Robotics Engineer</w:t>
      </w:r>
      <w:r>
        <w:t xml:space="preserve"> </w:t>
      </w:r>
      <w:r>
        <w:t xml:space="preserve">transcends traditional R&amp;D functions – they are now the frontline sales enablement specialists driving revenue. In Netherlands Amsterdam, our Robotics Engineers don't merely build systems; they lead solution design workshops with clients, translate technical capabilities into ROI narratives for Dutch procurement teams, and rapidly adapt prototypes to meet specific regional compliance requirements (e.g., GDPR integration in autonomous logistics systems).</w:t>
      </w:r>
    </w:p>
    <w:bookmarkStart w:id="23" w:name="quantifying-the-impact"/>
    <w:p>
      <w:pPr>
        <w:pStyle w:val="Heading3"/>
      </w:pPr>
      <w:r>
        <w:t xml:space="preserve">Quantifying the Impact:</w:t>
      </w:r>
    </w:p>
    <w:p>
      <w:pPr>
        <w:pStyle w:val="FirstParagraph"/>
      </w:pPr>
      <w:r>
        <w:t xml:space="preserve">Engineering Metric</w:t>
      </w:r>
    </w:p>
    <w:p>
      <w:pPr>
        <w:pStyle w:val="BodyText"/>
      </w:pPr>
      <w:r>
        <w:t xml:space="preserve">Pre-2022 Benchmark</w:t>
      </w:r>
    </w:p>
    <w:p>
      <w:pPr>
        <w:pStyle w:val="BodyText"/>
      </w:pPr>
      <w:r>
        <w:t xml:space="preserve">Amsterdam Q3 2023 Performance</w:t>
      </w:r>
    </w:p>
    <w:p>
      <w:pPr>
        <w:pStyle w:val="BodyText"/>
      </w:pPr>
      <w:r>
        <w:t xml:space="preserve">Growth Impact</w:t>
      </w:r>
    </w:p>
    <w:p>
      <w:pPr>
        <w:pStyle w:val="BodyText"/>
      </w:pPr>
      <w:r>
        <w:t xml:space="preserve">Sales Cycle Duration (Days)</w:t>
      </w:r>
    </w:p>
    <w:p>
      <w:pPr>
        <w:pStyle w:val="BodyText"/>
      </w:pPr>
      <w:r>
        <w:t xml:space="preserve">47 days</w:t>
      </w:r>
    </w:p>
    <w:p>
      <w:pPr>
        <w:pStyle w:val="BodyText"/>
      </w:pPr>
      <w:r>
        <w:t xml:space="preserve">29 days</w:t>
      </w:r>
    </w:p>
    <w:p>
      <w:pPr>
        <w:pStyle w:val="BodyText"/>
      </w:pPr>
      <w:r>
        <w:rPr>
          <w:bCs/>
          <w:b/>
        </w:rPr>
        <w:t xml:space="preserve">-38%</w:t>
      </w:r>
    </w:p>
    <w:p>
      <w:pPr>
        <w:pStyle w:val="BodyText"/>
      </w:pPr>
      <w:r>
        <w:t xml:space="preserve">Client Customization Rate</w:t>
      </w:r>
    </w:p>
    <w:p>
      <w:pPr>
        <w:pStyle w:val="BodyText"/>
      </w:pPr>
      <w:r>
        <w:t xml:space="preserve">53%</w:t>
      </w:r>
    </w:p>
    <w:bookmarkEnd w:id="23"/>
    <w:bookmarkEnd w:id="24"/>
    <w:bookmarkStart w:id="25" w:name="X69d4ad2ddc72cdc7c780b189515412334c1e996"/>
    <w:p>
      <w:pPr>
        <w:pStyle w:val="Heading2"/>
      </w:pPr>
      <w:r>
        <w:t xml:space="preserve">IV. Talent Acquisition Strategy: Building the Amsterdam Robotics Sales Engine</w:t>
      </w:r>
    </w:p>
    <w:p>
      <w:pPr>
        <w:pStyle w:val="FirstParagraph"/>
      </w:pPr>
      <w:r>
        <w:t xml:space="preserve">Netherlands Amsterdam's competitive talent market necessitates a specialized approach to recruiting Robotics Engineers who directly impact sales outcomes. Our 2023 recruitment strategy prioritized:</w:t>
      </w:r>
    </w:p>
    <w:p>
      <w:pPr>
        <w:numPr>
          <w:ilvl w:val="0"/>
          <w:numId w:val="1002"/>
        </w:numPr>
        <w:pStyle w:val="Compact"/>
      </w:pPr>
      <w:r>
        <w:rPr>
          <w:bCs/>
          <w:b/>
        </w:rPr>
        <w:t xml:space="preserve">Local University Partnerships:</w:t>
      </w:r>
      <w:r>
        <w:t xml:space="preserve"> </w:t>
      </w:r>
      <w:r>
        <w:t xml:space="preserve">Targeted collaborations with TU Delft’s Robotics Institute and Amsterdam UVA's AI Lab, resulting in 17 new graduates entering sales engineering roles (vs. 5 in 2021)</w:t>
      </w:r>
    </w:p>
    <w:p>
      <w:pPr>
        <w:numPr>
          <w:ilvl w:val="0"/>
          <w:numId w:val="1002"/>
        </w:numPr>
        <w:pStyle w:val="Compact"/>
      </w:pPr>
      <w:r>
        <w:rPr>
          <w:bCs/>
          <w:b/>
        </w:rPr>
        <w:t xml:space="preserve">Compliance-Driven Hiring:</w:t>
      </w:r>
      <w:r>
        <w:t xml:space="preserve"> </w:t>
      </w:r>
      <w:r>
        <w:t xml:space="preserve">Mandatory certification in Dutch industrial safety protocols (NEN-ISO/TS 15066) for all Robotics Engineers handling client-facing projects</w:t>
      </w:r>
    </w:p>
    <w:p>
      <w:pPr>
        <w:numPr>
          <w:ilvl w:val="0"/>
          <w:numId w:val="1002"/>
        </w:numPr>
        <w:pStyle w:val="Compact"/>
      </w:pPr>
      <w:r>
        <w:rPr>
          <w:bCs/>
          <w:b/>
        </w:rPr>
        <w:t xml:space="preserve">Hybrid Sales-Tech Profiles:</w:t>
      </w:r>
      <w:r>
        <w:t xml:space="preserve"> </w:t>
      </w:r>
      <w:r>
        <w:t xml:space="preserve">89% of new Robotics Engineer hires possess cross-functional sales training, enabling them to lead technical sales calls without engineering handoffs</w:t>
      </w:r>
    </w:p>
    <w:p>
      <w:pPr>
        <w:pStyle w:val="FirstParagraph"/>
      </w:pPr>
      <w:r>
        <w:t xml:space="preserve">This strategy yielded a 63% reduction in time-to-revenue for new client implementations – a critical advantage in Amsterdam's fast-paced industrial automation market where procurement cycles average just 8 weeks.</w:t>
      </w:r>
    </w:p>
    <w:bookmarkEnd w:id="25"/>
    <w:bookmarkStart w:id="28" w:name="X845651f47a597f054e3d3743bdee63f8ea811ac"/>
    <w:p>
      <w:pPr>
        <w:pStyle w:val="Heading2"/>
      </w:pPr>
      <w:r>
        <w:t xml:space="preserve">V. Client Success Stories: Robotics Engineer-Driven Sales Wins</w:t>
      </w:r>
    </w:p>
    <w:bookmarkStart w:id="26" w:name="Xbb5a5dc17527a07fa98455a7b3c694e9f9ed474"/>
    <w:p>
      <w:pPr>
        <w:pStyle w:val="Heading3"/>
      </w:pPr>
      <w:r>
        <w:t xml:space="preserve">Case Study 1: Port of Amsterdam Autonomous Logistics Contract (€4.2M)</w:t>
      </w:r>
    </w:p>
    <w:p>
      <w:pPr>
        <w:pStyle w:val="FirstParagraph"/>
      </w:pPr>
      <w:r>
        <w:rPr>
          <w:iCs/>
          <w:i/>
        </w:rPr>
        <w:t xml:space="preserve">The Challenge:</w:t>
      </w:r>
      <w:r>
        <w:t xml:space="preserve"> </w:t>
      </w:r>
      <w:r>
        <w:t xml:space="preserve">Port authorities sought a customs-compliant autonomous material handling system within a 10-week deadline. Our Robotics Engineer led a cross-functional team to develop an EU-certified solution incorporating Dutch port regulations, while simultaneously conducting daily technical workshops with client stakeholders. This eliminated the need for external consultants, reducing implementation costs by €670k and accelerating delivery by 19 days.</w:t>
      </w:r>
    </w:p>
    <w:bookmarkEnd w:id="26"/>
    <w:bookmarkStart w:id="27" w:name="X74d907f4f68332fa5cb52c080bc0f80ecd623ab"/>
    <w:p>
      <w:pPr>
        <w:pStyle w:val="Heading3"/>
      </w:pPr>
      <w:r>
        <w:t xml:space="preserve">Case Study 2: ASML Semiconductor Facility Automation (€8.7M)</w:t>
      </w:r>
    </w:p>
    <w:p>
      <w:pPr>
        <w:pStyle w:val="FirstParagraph"/>
      </w:pPr>
      <w:r>
        <w:rPr>
          <w:iCs/>
          <w:i/>
        </w:rPr>
        <w:t xml:space="preserve">The Impact:</w:t>
      </w:r>
      <w:r>
        <w:t xml:space="preserve"> </w:t>
      </w:r>
      <w:r>
        <w:t xml:space="preserve">Our Robotics Engineer’s deep understanding of Dutch cleanroom standards (NEN-EN ISO 14644) and ability to rapidly prototype under ASML's exacting requirements secured the contract over competitors. The engineer’s daily solution demonstrations directly increased client confidence, resulting in a 32% higher average deal size than regional industry benchmarks.</w:t>
      </w:r>
    </w:p>
    <w:bookmarkEnd w:id="27"/>
    <w:bookmarkEnd w:id="28"/>
    <w:bookmarkStart w:id="29" w:name="Xbdb8e6344a312f3829f08843b369afe961819c1"/>
    <w:p>
      <w:pPr>
        <w:pStyle w:val="Heading2"/>
      </w:pPr>
      <w:r>
        <w:t xml:space="preserve">VI. Strategic Recommendations for Netherlands Amsterdam Sales Growth</w:t>
      </w:r>
    </w:p>
    <w:p>
      <w:pPr>
        <w:numPr>
          <w:ilvl w:val="0"/>
          <w:numId w:val="1003"/>
        </w:numPr>
        <w:pStyle w:val="Compact"/>
      </w:pPr>
      <w:r>
        <w:rPr>
          <w:bCs/>
          <w:b/>
        </w:rPr>
        <w:t xml:space="preserve">Amsterdam Robotics Talent Incubator:</w:t>
      </w:r>
      <w:r>
        <w:t xml:space="preserve"> </w:t>
      </w:r>
      <w:r>
        <w:t xml:space="preserve">Establish a dedicated 10-person "Sales Engineering Accelerator" program within our Amsterdam office to train Robotics Engineers in client-facing sales methodologies, projected to increase average deal size by 25% by Q2 2024.</w:t>
      </w:r>
    </w:p>
    <w:p>
      <w:pPr>
        <w:numPr>
          <w:ilvl w:val="0"/>
          <w:numId w:val="1003"/>
        </w:numPr>
        <w:pStyle w:val="Compact"/>
      </w:pPr>
      <w:r>
        <w:rPr>
          <w:bCs/>
          <w:b/>
        </w:rPr>
        <w:t xml:space="preserve">Regional Certification Expansion:</w:t>
      </w:r>
      <w:r>
        <w:t xml:space="preserve"> </w:t>
      </w:r>
      <w:r>
        <w:t xml:space="preserve">Develop specialized training modules for Netherlands-specific regulations (including Dutch water management integration for agricultural robotics), directly addressing the #1 client requirement identified in our Q3 survey.</w:t>
      </w:r>
    </w:p>
    <w:p>
      <w:pPr>
        <w:numPr>
          <w:ilvl w:val="0"/>
          <w:numId w:val="1003"/>
        </w:numPr>
        <w:pStyle w:val="Compact"/>
      </w:pPr>
      <w:r>
        <w:rPr>
          <w:bCs/>
          <w:b/>
        </w:rPr>
        <w:t xml:space="preserve">Competitive Talent Monitoring:</w:t>
      </w:r>
      <w:r>
        <w:t xml:space="preserve"> </w:t>
      </w:r>
      <w:r>
        <w:t xml:space="preserve">Implement real-time tracking of competitor Robotics Engineer recruitment in Amsterdam, with focus on key metrics like average time-to-hire and salary benchmarks to maintain market leadership.</w:t>
      </w:r>
    </w:p>
    <w:bookmarkEnd w:id="29"/>
    <w:bookmarkStart w:id="30" w:name="X957b463c76f2d90d943440cd2b9557089e71086"/>
    <w:p>
      <w:pPr>
        <w:pStyle w:val="Heading2"/>
      </w:pPr>
      <w:r>
        <w:t xml:space="preserve">VII. Conclusion: The Non-Negotiable Role of Robotics Engineers</w:t>
      </w:r>
    </w:p>
    <w:p>
      <w:pPr>
        <w:pStyle w:val="FirstParagraph"/>
      </w:pPr>
      <w:r>
        <w:t xml:space="preserve">This Sales Report conclusively demonstrates that in the Netherlands Amsterdam ecosystem, the Robotics Engineer is not an ancillary role but the central catalyst for revenue growth. Every €1 invested in specialized Robotics Engineer talent generates an average of €4.70 in new sales within 18 months, a ratio unmatched across our global operations. As we enter 2024 with Amsterdam projected to capture 35% of our European robotics sales pipeline, the strategic deployment of Robotics Engineers will remain the cornerstone of our market dominance.</w:t>
      </w:r>
    </w:p>
    <w:p>
      <w:pPr>
        <w:pStyle w:val="BodyText"/>
      </w:pPr>
      <w:r>
        <w:t xml:space="preserve">Our continued success hinges on recognizing that in Netherlands Amsterdam’s innovation landscape, a Robotics Engineer isn't just a developer – they are the indispensable sales architect who transforms technical potential into measurable revenue. This report provides both historical validation and actionable roadmap for sustaining our competitive momentum through strategic talent investment.</w:t>
      </w:r>
    </w:p>
    <w:p>
      <w:pPr>
        <w:pStyle w:val="BodyText"/>
      </w:pPr>
      <w:r>
        <w:rPr>
          <w:bCs/>
          <w:b/>
        </w:rPr>
        <w:t xml:space="preserve">Prepared By:</w:t>
      </w:r>
      <w:r>
        <w:t xml:space="preserve"> </w:t>
      </w:r>
      <w:r>
        <w:t xml:space="preserve">Global Sales Intelligence Division |</w:t>
      </w:r>
      <w:r>
        <w:t xml:space="preserve"> </w:t>
      </w:r>
      <w:r>
        <w:rPr>
          <w:bCs/>
          <w:b/>
        </w:rPr>
        <w:t xml:space="preserve">Location:</w:t>
      </w:r>
      <w:r>
        <w:t xml:space="preserve"> </w:t>
      </w:r>
      <w:r>
        <w:t xml:space="preserve">Netherlands Amsterdam Operations Hub</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Engineering Sales Performance Report - Netherlands Amsterdam</dc:title>
  <dc:creator/>
  <dc:language>en</dc:language>
  <cp:keywords/>
  <dcterms:created xsi:type="dcterms:W3CDTF">2025-12-11T19:17:35Z</dcterms:created>
  <dcterms:modified xsi:type="dcterms:W3CDTF">2025-12-11T19:17:35Z</dcterms:modified>
</cp:coreProperties>
</file>

<file path=docProps/custom.xml><?xml version="1.0" encoding="utf-8"?>
<Properties xmlns="http://schemas.openxmlformats.org/officeDocument/2006/custom-properties" xmlns:vt="http://schemas.openxmlformats.org/officeDocument/2006/docPropsVTypes"/>
</file>