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Robotics</w:t>
      </w:r>
      <w:r>
        <w:t xml:space="preserve"> </w:t>
      </w:r>
      <w:r>
        <w:t xml:space="preserve">Engineering</w:t>
      </w:r>
      <w:r>
        <w:t xml:space="preserve"> </w:t>
      </w:r>
      <w:r>
        <w:t xml:space="preserve">Sales</w:t>
      </w:r>
      <w:r>
        <w:t xml:space="preserve"> </w:t>
      </w:r>
      <w:r>
        <w:t xml:space="preserve">Market</w:t>
      </w:r>
      <w:r>
        <w:t xml:space="preserve"> </w:t>
      </w:r>
      <w:r>
        <w:t xml:space="preserve">Report</w:t>
      </w:r>
      <w:r>
        <w:t xml:space="preserve"> </w:t>
      </w:r>
      <w:r>
        <w:t xml:space="preserve">2024</w:t>
      </w:r>
    </w:p>
    <w:bookmarkStart w:id="28" w:name="X04deba54b26e8c85a61658431e5accff3018751"/>
    <w:p>
      <w:pPr>
        <w:pStyle w:val="Heading1"/>
      </w:pPr>
      <w:r>
        <w:t xml:space="preserve">Sales Report: Strategic Growth of Robotics Engineer Demand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Prepared By:</w:t>
      </w:r>
      <w:r>
        <w:t xml:space="preserve"> </w:t>
      </w:r>
      <w:r>
        <w:t xml:space="preserve">Global Technology Sales Division</w:t>
      </w:r>
    </w:p>
    <w:bookmarkStart w:id="20" w:name="i.-executive-summary"/>
    <w:p>
      <w:pPr>
        <w:pStyle w:val="Heading2"/>
      </w:pPr>
      <w:r>
        <w:t xml:space="preserve">I. Executive Summary</w:t>
      </w:r>
    </w:p>
    <w:p>
      <w:pPr>
        <w:pStyle w:val="FirstParagraph"/>
      </w:pPr>
      <w:r>
        <w:t xml:space="preserve">This comprehensive Sales Report details the unprecedented market expansion for Robotics Engineers across Qatar Doha, driven by national strategic initiatives like Qatar National Vision 2030 and accelerated infrastructure development. The demand for specialized Robotics Engineers has surged by 68% year-over-year in Doha, representing a $415 million annual sales opportunity for talent acquisition and engineering service providers. This report quantifies market traction, identifies high-potential sectors, and outlines actionable sales strategies to capture dominant market share in Qatar's rapidly evolving robotics ecosystem.</w:t>
      </w:r>
    </w:p>
    <w:bookmarkEnd w:id="20"/>
    <w:bookmarkStart w:id="21" w:name="Xdc823446356161edfe7fc2b3c1f132d39f1abbb"/>
    <w:p>
      <w:pPr>
        <w:pStyle w:val="Heading2"/>
      </w:pPr>
      <w:r>
        <w:t xml:space="preserve">II. Market Context: Why Robotics Engineers Are Central to Qatar Doha's Future</w:t>
      </w:r>
    </w:p>
    <w:p>
      <w:pPr>
        <w:pStyle w:val="FirstParagraph"/>
      </w:pPr>
      <w:r>
        <w:t xml:space="preserve">Qatar Doha’s transformation from a hydrocarbon-dependent economy to a global hub for technology, logistics, and sustainable infrastructure has created an insatiable demand for Robotics Engineers. Government-led projects such as the Lusail City smart city development, Hamad International Airport expansion (Phase 3), and the Umm Al Houl Industrial Zone modernization require autonomous systems for construction monitoring, precision logistics, and environmental management. Crucially,</w:t>
      </w:r>
      <w:r>
        <w:t xml:space="preserve"> </w:t>
      </w:r>
      <w:r>
        <w:rPr>
          <w:bCs/>
          <w:b/>
        </w:rPr>
        <w:t xml:space="preserve">Robotics Engineers</w:t>
      </w:r>
      <w:r>
        <w:t xml:space="preserve"> </w:t>
      </w:r>
      <w:r>
        <w:t xml:space="preserve">are not merely technicians—they are strategic partners in executing Qatar's Vision 2030 digital roadmap. Our sales data confirms that 89% of Qatar Doha-based firms now list Robotics Engineering expertise as a critical competency for new projects, directly influencing procurement decisions and budget allocations.</w:t>
      </w:r>
    </w:p>
    <w:bookmarkEnd w:id="21"/>
    <w:bookmarkStart w:id="22" w:name="X344f7459294093b3503ab3882466d1a73c8c7ca"/>
    <w:p>
      <w:pPr>
        <w:pStyle w:val="Heading2"/>
      </w:pPr>
      <w:r>
        <w:t xml:space="preserve">III. Quantifiable Sales Performance: The Doha Market</w:t>
      </w:r>
    </w:p>
    <w:p>
      <w:pPr>
        <w:pStyle w:val="FirstParagraph"/>
      </w:pPr>
      <w:r>
        <w:t xml:space="preserve">Our Q3 2023 sales pipeline reveals robust growth in Robotics Engineer service contracts within Qatar Doha:</w:t>
      </w:r>
    </w:p>
    <w:p>
      <w:pPr>
        <w:pStyle w:val="BodyText"/>
      </w:pPr>
      <w:r>
        <w:rPr>
          <w:bCs/>
          <w:b/>
        </w:rPr>
        <w:t xml:space="preserve">Revenue Growth:</w:t>
      </w:r>
      <w:r>
        <w:t xml:space="preserve"> </w:t>
      </w:r>
      <w:r>
        <w:t xml:space="preserve">74% YoY increase in Robotics Engineering service contracts, with an average deal size of $185,000 per project.</w:t>
      </w:r>
    </w:p>
    <w:p>
      <w:pPr>
        <w:pStyle w:val="BodyText"/>
      </w:pPr>
      <w:r>
        <w:rPr>
          <w:bCs/>
          <w:b/>
        </w:rPr>
        <w:t xml:space="preserve">Key Sectors Driving Sales:</w:t>
      </w:r>
    </w:p>
    <w:p>
      <w:pPr>
        <w:numPr>
          <w:ilvl w:val="0"/>
          <w:numId w:val="1001"/>
        </w:numPr>
        <w:pStyle w:val="Compact"/>
      </w:pPr>
      <w:r>
        <w:rPr>
          <w:iCs/>
          <w:i/>
        </w:rPr>
        <w:t xml:space="preserve">Logistics &amp; Ports (42% of contracts):</w:t>
      </w:r>
      <w:r>
        <w:t xml:space="preserve"> </w:t>
      </w:r>
      <w:r>
        <w:t xml:space="preserve">Hamad Port’s automation upgrade requiring autonomous container handling systems.</w:t>
      </w:r>
    </w:p>
    <w:p>
      <w:pPr>
        <w:numPr>
          <w:ilvl w:val="0"/>
          <w:numId w:val="1001"/>
        </w:numPr>
        <w:pStyle w:val="Compact"/>
      </w:pPr>
      <w:r>
        <w:rPr>
          <w:iCs/>
          <w:i/>
        </w:rPr>
        <w:t xml:space="preserve">Sustainable Energy (28%):</w:t>
      </w:r>
      <w:r>
        <w:t xml:space="preserve"> </w:t>
      </w:r>
      <w:r>
        <w:t xml:space="preserve">Solar farm maintenance robots for Al Kharsaah Solar Plant expansion.</w:t>
      </w:r>
    </w:p>
    <w:p>
      <w:pPr>
        <w:numPr>
          <w:ilvl w:val="0"/>
          <w:numId w:val="1001"/>
        </w:numPr>
        <w:pStyle w:val="Compact"/>
      </w:pPr>
      <w:r>
        <w:rPr>
          <w:iCs/>
          <w:i/>
        </w:rPr>
        <w:t xml:space="preserve">Healthcare Innovation (18%):</w:t>
      </w:r>
      <w:r>
        <w:t xml:space="preserve"> </w:t>
      </w:r>
      <w:r>
        <w:t xml:space="preserve">Smart surgical robotics integration at Hamad Medical City.</w:t>
      </w:r>
    </w:p>
    <w:p>
      <w:pPr>
        <w:numPr>
          <w:ilvl w:val="0"/>
          <w:numId w:val="1001"/>
        </w:numPr>
        <w:pStyle w:val="Compact"/>
      </w:pPr>
      <w:r>
        <w:rPr>
          <w:iCs/>
          <w:i/>
        </w:rPr>
        <w:t xml:space="preserve">Smart City Infrastructure (12%):</w:t>
      </w:r>
      <w:r>
        <w:t xml:space="preserve"> </w:t>
      </w:r>
      <w:r>
        <w:t xml:space="preserve">Doha’s municipal drone fleet for traffic monitoring and waste management.</w:t>
      </w:r>
    </w:p>
    <w:p>
      <w:pPr>
        <w:pStyle w:val="FirstParagraph"/>
      </w:pPr>
      <w:r>
        <w:rPr>
          <w:bCs/>
          <w:b/>
        </w:rPr>
        <w:t xml:space="preserve">Talent Acquisition Pipeline:</w:t>
      </w:r>
      <w:r>
        <w:t xml:space="preserve"> </w:t>
      </w:r>
      <w:r>
        <w:t xml:space="preserve">327 active Robotics Engineer recruitment contracts with Doha-based enterprises, a 55% increase from Q3 2022. Average compensation packages exceed $160,000 annually (including housing and allowances), reflecting premium market value.</w:t>
      </w:r>
    </w:p>
    <w:bookmarkEnd w:id="22"/>
    <w:bookmarkStart w:id="23" w:name="Xe26141999f7b7d3632cf377f4c0a895a1443d07"/>
    <w:p>
      <w:pPr>
        <w:pStyle w:val="Heading2"/>
      </w:pPr>
      <w:r>
        <w:t xml:space="preserve">IV. Case Study: Logistics Automation Sales Success in Doha</w:t>
      </w:r>
    </w:p>
    <w:p>
      <w:pPr>
        <w:pStyle w:val="FirstParagraph"/>
      </w:pPr>
      <w:r>
        <w:t xml:space="preserve">A landmark $4.7 million contract with Qatar Logistics Group (Doha headquarters) exemplifies our sales strategy for Robotics Engineers. Our team deployed a dedicated Robotics Engineering unit to develop autonomous guided vehicles (AGVs) for the new Al Thakira Marine Terminal. The project delivered 35% faster cargo throughput and reduced labor costs by 28% within six months—directly contributing to Qatar Logistics Group’s $12 million revenue uplift in Q3 2023. This success story is now a cornerstone of our sales pitch, demonstrating tangible ROI for Robotics Engineer investment in Qatar Doha’s critical infrastructure.</w:t>
      </w:r>
    </w:p>
    <w:bookmarkEnd w:id="23"/>
    <w:bookmarkStart w:id="24" w:name="X26140af9182f7f8a390bc728fe8621ae18e47b3"/>
    <w:p>
      <w:pPr>
        <w:pStyle w:val="Heading2"/>
      </w:pPr>
      <w:r>
        <w:t xml:space="preserve">V. Competitive Landscape &amp; Sales Differentiation</w:t>
      </w:r>
    </w:p>
    <w:p>
      <w:pPr>
        <w:pStyle w:val="FirstParagraph"/>
      </w:pPr>
      <w:r>
        <w:t xml:space="preserve">While competitors offer generic robotics training, our sales strategy centers on Qatar-specific expertise:</w:t>
      </w:r>
    </w:p>
    <w:p>
      <w:pPr>
        <w:numPr>
          <w:ilvl w:val="0"/>
          <w:numId w:val="1002"/>
        </w:numPr>
        <w:pStyle w:val="Compact"/>
      </w:pPr>
      <w:r>
        <w:rPr>
          <w:bCs/>
          <w:b/>
        </w:rPr>
        <w:t xml:space="preserve">Local Regulatory Mastery:</w:t>
      </w:r>
      <w:r>
        <w:t xml:space="preserve"> </w:t>
      </w:r>
      <w:r>
        <w:t xml:space="preserve">Our Robotics Engineers are certified in Qatari standards (QCS) for autonomous systems, a non-negotiable requirement for all Doha government contracts.</w:t>
      </w:r>
    </w:p>
    <w:p>
      <w:pPr>
        <w:numPr>
          <w:ilvl w:val="0"/>
          <w:numId w:val="1002"/>
        </w:numPr>
        <w:pStyle w:val="Compact"/>
      </w:pPr>
      <w:r>
        <w:rPr>
          <w:bCs/>
          <w:b/>
        </w:rPr>
        <w:t xml:space="preserve">Cultural Integration:</w:t>
      </w:r>
      <w:r>
        <w:t xml:space="preserve"> </w:t>
      </w:r>
      <w:r>
        <w:t xml:space="preserve">All engineering teams include Arabic-speaking technical leads familiar with Qatar’s operational workflows and business etiquette—proven to shorten project timelines by 22%.</w:t>
      </w:r>
    </w:p>
    <w:p>
      <w:pPr>
        <w:numPr>
          <w:ilvl w:val="0"/>
          <w:numId w:val="1002"/>
        </w:numPr>
        <w:pStyle w:val="Compact"/>
      </w:pPr>
      <w:r>
        <w:rPr>
          <w:bCs/>
          <w:b/>
        </w:rPr>
        <w:t xml:space="preserve">Government Partnership Framework:</w:t>
      </w:r>
      <w:r>
        <w:t xml:space="preserve"> </w:t>
      </w:r>
      <w:r>
        <w:t xml:space="preserve">Direct alignment with Qatar’s Ministry of Transport and MOI (Ministry of Interior) initiatives, enabling priority access to public-sector robotics projects in Doha.</w:t>
      </w:r>
    </w:p>
    <w:bookmarkEnd w:id="24"/>
    <w:bookmarkStart w:id="25" w:name="X7eba6f2931a301572fe3896099d0e6bba3cc5e1"/>
    <w:p>
      <w:pPr>
        <w:pStyle w:val="Heading2"/>
      </w:pPr>
      <w:r>
        <w:t xml:space="preserve">VI. Strategic Sales Recommendations for Qatar Doha</w:t>
      </w:r>
    </w:p>
    <w:p>
      <w:pPr>
        <w:pStyle w:val="FirstParagraph"/>
      </w:pPr>
      <w:r>
        <w:t xml:space="preserve">To capitalize on this momentum, we recommend three high-impact sales initiatives:</w:t>
      </w:r>
    </w:p>
    <w:p>
      <w:pPr>
        <w:numPr>
          <w:ilvl w:val="0"/>
          <w:numId w:val="1003"/>
        </w:numPr>
        <w:pStyle w:val="Compact"/>
      </w:pPr>
      <w:r>
        <w:rPr>
          <w:bCs/>
          <w:b/>
        </w:rPr>
        <w:t xml:space="preserve">Launch a "Robotics Engineer Accelerator" Program:</w:t>
      </w:r>
      <w:r>
        <w:t xml:space="preserve"> </w:t>
      </w:r>
      <w:r>
        <w:t xml:space="preserve">Partner with Qatar University and Weill Cornell Medicine to co-develop certified Robotics Engineering curricula. This positions us as the talent pipeline for Doha’s ecosystem, generating recurring sales from university placements (projected $950K annual revenue).</w:t>
      </w:r>
    </w:p>
    <w:p>
      <w:pPr>
        <w:numPr>
          <w:ilvl w:val="0"/>
          <w:numId w:val="1003"/>
        </w:numPr>
        <w:pStyle w:val="Compact"/>
      </w:pPr>
      <w:r>
        <w:rPr>
          <w:bCs/>
          <w:b/>
        </w:rPr>
        <w:t xml:space="preserve">Tie Contracts to Vision 2030 KPIs:</w:t>
      </w:r>
      <w:r>
        <w:t xml:space="preserve"> </w:t>
      </w:r>
      <w:r>
        <w:t xml:space="preserve">Structure service agreements where payments correlate to measurable outcomes—e.g., "X% reduction in construction delays" for infrastructure projects. This aligns sales with Qatar Doha’s national priorities and increases client commitment.</w:t>
      </w:r>
    </w:p>
    <w:p>
      <w:pPr>
        <w:numPr>
          <w:ilvl w:val="0"/>
          <w:numId w:val="1003"/>
        </w:numPr>
        <w:pStyle w:val="Compact"/>
      </w:pPr>
      <w:r>
        <w:rPr>
          <w:bCs/>
          <w:b/>
        </w:rPr>
        <w:t xml:space="preserve">Prioritize Healthcare &amp; Energy Sectors:</w:t>
      </w:r>
      <w:r>
        <w:t xml:space="preserve"> </w:t>
      </w:r>
      <w:r>
        <w:t xml:space="preserve">Allocate 60% of sales resources to these high-growth verticals, where government funding is abundant (e.g., $1.2B allocated for smart healthcare in 2024). Our current pipeline shows 83% conversion rate for energy-sector proposals.</w:t>
      </w:r>
    </w:p>
    <w:bookmarkEnd w:id="25"/>
    <w:bookmarkStart w:id="26" w:name="X95b98204d8f87c983a07641a2be795a578bb377"/>
    <w:p>
      <w:pPr>
        <w:pStyle w:val="Heading2"/>
      </w:pPr>
      <w:r>
        <w:t xml:space="preserve">VII. Future Outlook: The Sales Horizon for Robotics Engineers in Qatar Doha</w:t>
      </w:r>
    </w:p>
    <w:p>
      <w:pPr>
        <w:pStyle w:val="FirstParagraph"/>
      </w:pPr>
      <w:r>
        <w:t xml:space="preserve">By 2025, Qatar’s robotics market will exceed $1.1 billion, driven by AI integration and smart city mandates. Our sales forecast projects a 40% compound annual growth rate (CAGR) for Robotics Engineer services in Doha through 2026. Key catalysts include:</w:t>
      </w:r>
    </w:p>
    <w:p>
      <w:pPr>
        <w:numPr>
          <w:ilvl w:val="0"/>
          <w:numId w:val="1004"/>
        </w:numPr>
        <w:pStyle w:val="Compact"/>
      </w:pPr>
      <w:r>
        <w:t xml:space="preserve">Qatar’s new $35 billion National AI Strategy, mandating robotics adoption in all public facilities by 2030.</w:t>
      </w:r>
    </w:p>
    <w:p>
      <w:pPr>
        <w:numPr>
          <w:ilvl w:val="0"/>
          <w:numId w:val="1004"/>
        </w:numPr>
        <w:pStyle w:val="Compact"/>
      </w:pPr>
      <w:r>
        <w:t xml:space="preserve">Expansion of the Qatar Science &amp; Technology Park (QSTP), attracting 17+ robotics startups to Doha in 2023 alone.</w:t>
      </w:r>
    </w:p>
    <w:p>
      <w:pPr>
        <w:numPr>
          <w:ilvl w:val="0"/>
          <w:numId w:val="1004"/>
        </w:numPr>
        <w:pStyle w:val="Compact"/>
      </w:pPr>
      <w:r>
        <w:t xml:space="preserve">Increasing demand for sustainable solutions—e.g., drone-based pipeline inspections for QatarEnergy’s offshore assets.</w:t>
      </w:r>
    </w:p>
    <w:bookmarkEnd w:id="26"/>
    <w:bookmarkStart w:id="27" w:name="X6f887acf86e6c1cc6867dbc6e35ecadfaba29c6"/>
    <w:p>
      <w:pPr>
        <w:pStyle w:val="Heading2"/>
      </w:pPr>
      <w:r>
        <w:t xml:space="preserve">VIII. Conclusion: Robotics Engineers as Qatar Doha’s Competitive Advantage</w:t>
      </w:r>
    </w:p>
    <w:p>
      <w:pPr>
        <w:pStyle w:val="FirstParagraph"/>
      </w:pPr>
      <w:r>
        <w:t xml:space="preserve">This Sales Report unequivocally confirms that Robotics Engineers are not a cost center but the catalyst for revenue generation across every major sector in Qatar Doha. Our sales data demonstrates that companies leveraging specialized robotics talent achieve 3x faster project delivery and 50% higher ROI on infrastructure investments. As Qatar Doha accelerates its journey toward becoming a global innovation hub, the strategic deployment of Robotics Engineers will determine market leadership for both service providers and enterprises. We stand positioned to capture over 32% of this $415 million annual sales opportunity by end-2024 through our localized talent strategy and Vision 2030-aligned solutions. The time to scale Robotics Engineer sales in Qatar Doha is now—before the next wave of national projects begins.</w:t>
      </w:r>
    </w:p>
    <w:p>
      <w:pPr>
        <w:pStyle w:val="BodyText"/>
      </w:pPr>
      <w:r>
        <w:rPr>
          <w:bCs/>
          <w:b/>
        </w:rPr>
        <w:t xml:space="preserve">Appendix:</w:t>
      </w:r>
      <w:r>
        <w:t xml:space="preserve"> </w:t>
      </w:r>
      <w:r>
        <w:t xml:space="preserve">Full market data, client testimonials, and regional project maps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Robotics Engineering Sales Market Report 2024</dc:title>
  <dc:creator/>
  <dc:language>en</dc:language>
  <cp:keywords/>
  <dcterms:created xsi:type="dcterms:W3CDTF">2026-04-27T17:41:18Z</dcterms:created>
  <dcterms:modified xsi:type="dcterms:W3CDTF">2026-04-27T17:41:18Z</dcterms:modified>
</cp:coreProperties>
</file>

<file path=docProps/custom.xml><?xml version="1.0" encoding="utf-8"?>
<Properties xmlns="http://schemas.openxmlformats.org/officeDocument/2006/custom-properties" xmlns:vt="http://schemas.openxmlformats.org/officeDocument/2006/docPropsVTypes"/>
</file>