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Robotics</w:t>
      </w:r>
      <w:r>
        <w:t xml:space="preserve"> </w:t>
      </w:r>
      <w:r>
        <w:t xml:space="preserve">Engineer</w:t>
      </w:r>
      <w:r>
        <w:t xml:space="preserve"> </w:t>
      </w:r>
      <w:r>
        <w:t xml:space="preserve">Sales</w:t>
      </w:r>
      <w:r>
        <w:t xml:space="preserve"> </w:t>
      </w:r>
      <w:r>
        <w:t xml:space="preserve">Report:</w:t>
      </w:r>
      <w:r>
        <w:t xml:space="preserve"> </w:t>
      </w:r>
      <w:r>
        <w:t xml:space="preserve">Russia</w:t>
      </w:r>
      <w:r>
        <w:t xml:space="preserve"> </w:t>
      </w:r>
      <w:r>
        <w:t xml:space="preserve">Moscow</w:t>
      </w:r>
      <w:r>
        <w:t xml:space="preserve"> </w:t>
      </w:r>
      <w:r>
        <w:t xml:space="preserve">Market</w:t>
      </w:r>
    </w:p>
    <w:bookmarkStart w:id="26" w:name="X7ea67ba8b0d2dace54518c7eab989d2e2728e22"/>
    <w:p>
      <w:pPr>
        <w:pStyle w:val="Heading1"/>
      </w:pPr>
      <w:r>
        <w:t xml:space="preserve">Sales Report: Robotics Engineer Talent Acquisition &amp; Market Dynamics in Russia Moscow</w:t>
      </w:r>
    </w:p>
    <w:p>
      <w:pPr>
        <w:pStyle w:val="FirstParagraph"/>
      </w:pPr>
      <w:r>
        <w:rPr>
          <w:bCs/>
          <w:b/>
        </w:rPr>
        <w:t xml:space="preserve">Prepared For:</w:t>
      </w:r>
      <w:r>
        <w:t xml:space="preserve"> </w:t>
      </w:r>
      <w:r>
        <w:t xml:space="preserve">Executive Leadership, Sales Strategy Division</w:t>
      </w:r>
      <w:r>
        <w:br/>
      </w:r>
      <w:r>
        <w:rPr>
          <w:bCs/>
          <w:b/>
        </w:rPr>
        <w:t xml:space="preserve">Date:</w:t>
      </w:r>
      <w:r>
        <w:t xml:space="preserve"> </w:t>
      </w:r>
      <w:r>
        <w:t xml:space="preserve">October 26, 2023</w:t>
      </w:r>
      <w:r>
        <w:br/>
      </w:r>
      <w:r>
        <w:rPr>
          <w:bCs/>
          <w:b/>
        </w:rPr>
        <w:t xml:space="preserve">Report Scope:</w:t>
      </w:r>
      <w:r>
        <w:t xml:space="preserve"> </w:t>
      </w:r>
      <w:r>
        <w:t xml:space="preserve">Robotics Engineering Talent Demand, Sales Performance, and Market Forecast for Moscow Metropolitan Area</w:t>
      </w:r>
    </w:p>
    <w:bookmarkStart w:id="20" w:name="i.-executive-summary"/>
    <w:p>
      <w:pPr>
        <w:pStyle w:val="Heading2"/>
      </w:pPr>
      <w:r>
        <w:t xml:space="preserve">I. Executive Summary</w:t>
      </w:r>
    </w:p>
    <w:p>
      <w:pPr>
        <w:pStyle w:val="FirstParagraph"/>
      </w:pPr>
      <w:r>
        <w:t xml:space="preserve">This comprehensive Sales Report details the unprecedented growth trajectory of the Robotics Engineer talent sector within Russia's capital city, Moscow. As industrial automation accelerates across key Russian sectors—from automotive manufacturing to smart-city infrastructure—the demand for specialized Robotics Engineers has surged by 42% YoY in Moscow alone. This report quantifies market opportunities, identifies critical sales challenges, and provides actionable intelligence for sales teams targeting enterprise clients in the Russia Moscow ecosystem. With Moscow positioned as the undisputed robotics innovation hub of Russia, securing top-tier Robotics Engineer talent directly correlates with revenue growth potential for technology vendors and service providers.</w:t>
      </w:r>
    </w:p>
    <w:bookmarkEnd w:id="20"/>
    <w:bookmarkStart w:id="21" w:name="Xad82f9269a47de9f2cd36f260338ccf7a665980"/>
    <w:p>
      <w:pPr>
        <w:pStyle w:val="Heading2"/>
      </w:pPr>
      <w:r>
        <w:t xml:space="preserve">II. Market Analysis: Robotics Engineer Demand in Russia Moscow</w:t>
      </w:r>
    </w:p>
    <w:p>
      <w:pPr>
        <w:pStyle w:val="FirstParagraph"/>
      </w:pPr>
      <w:r>
        <w:t xml:space="preserve">Moscow's strategic position as the political, economic, and technological epicenter of Russia has catalyzed a structural shift toward robotics adoption. The Russian government’s "Digital Economy" program explicitly prioritizes automation, allocating ₽35 billion for robotics R&amp;D in 2023—with Moscow receiving 68% of this funding. Consequently, enterprises across logistics (e.g., Sberbank's warehouse automation), manufacturing (e.g., AvtoVAZ's smart assembly lines), and healthcare (e.g., Skolkovo Institute medical robotics) now require specialized Robotics Engineers for system integration, AI-driven control systems, and predictive maintenance solutions.</w:t>
      </w:r>
    </w:p>
    <w:p>
      <w:pPr>
        <w:pStyle w:val="BodyText"/>
      </w:pPr>
      <w:r>
        <w:rPr>
          <w:bCs/>
          <w:b/>
        </w:rPr>
        <w:t xml:space="preserve">Key Sales Insight:</w:t>
      </w:r>
      <w:r>
        <w:t xml:space="preserve"> </w:t>
      </w:r>
      <w:r>
        <w:t xml:space="preserve">87% of Moscow-based industrial clients prioritize vendors with demonstrable Robotics Engineer expertise. Companies lacking in-house robotics talent are increasingly outsourcing engineering services—a market segment projected to reach $1.2B annually in Russia by 2025, with Moscow accounting for 74% of total sales volume.</w:t>
      </w:r>
    </w:p>
    <w:bookmarkEnd w:id="21"/>
    <w:bookmarkStart w:id="22" w:name="Xb86e2b791c408026574c793482fee5db2847508"/>
    <w:p>
      <w:pPr>
        <w:pStyle w:val="Heading2"/>
      </w:pPr>
      <w:r>
        <w:t xml:space="preserve">III. Sales Performance Metrics: Robotics Engineer Services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Robotics Engineer Service Contracts (Moscow)</w:t>
            </w:r>
          </w:p>
        </w:tc>
        <w:tc>
          <w:tcPr/>
          <w:p>
            <w:pPr>
              <w:pStyle w:val="Compact"/>
              <w:jc w:val="left"/>
            </w:pPr>
            <w:r>
              <w:t xml:space="preserve">Revenue Generated (₽)</w:t>
            </w:r>
          </w:p>
        </w:tc>
        <w:tc>
          <w:tcPr/>
          <w:p>
            <w:pPr>
              <w:pStyle w:val="Compact"/>
              <w:jc w:val="left"/>
            </w:pPr>
            <w:r>
              <w:t xml:space="preserve">% YoY Growth</w:t>
            </w:r>
          </w:p>
        </w:tc>
      </w:tr>
      <w:tr>
        <w:tc>
          <w:tcPr/>
          <w:p>
            <w:pPr>
              <w:pStyle w:val="Compact"/>
              <w:jc w:val="left"/>
            </w:pPr>
            <w:r>
              <w:t xml:space="preserve">H1 2022</w:t>
            </w:r>
          </w:p>
        </w:tc>
        <w:tc>
          <w:tcPr/>
          <w:p>
            <w:pPr>
              <w:pStyle w:val="Compact"/>
              <w:jc w:val="left"/>
            </w:pPr>
            <w:r>
              <w:t xml:space="preserve">187</w:t>
            </w:r>
          </w:p>
        </w:tc>
        <w:tc>
          <w:tcPr/>
          <w:p>
            <w:pPr>
              <w:pStyle w:val="Compact"/>
              <w:jc w:val="left"/>
            </w:pPr>
            <w:r>
              <w:t xml:space="preserve">345,000,000</w:t>
            </w:r>
          </w:p>
        </w:tc>
        <w:tc>
          <w:tcPr/>
          <w:p>
            <w:pPr>
              <w:pStyle w:val="Compact"/>
              <w:jc w:val="left"/>
            </w:pPr>
            <w:r>
              <w:t xml:space="preserve">-</w:t>
            </w:r>
          </w:p>
        </w:tc>
      </w:tr>
      <w:tr>
        <w:tc>
          <w:tcPr/>
          <w:p>
            <w:pPr>
              <w:pStyle w:val="Compact"/>
              <w:jc w:val="left"/>
            </w:pPr>
            <w:r>
              <w:t xml:space="preserve">H2 2022</w:t>
            </w:r>
          </w:p>
        </w:tc>
        <w:tc>
          <w:tcPr/>
          <w:p>
            <w:pPr>
              <w:pStyle w:val="Compact"/>
              <w:jc w:val="left"/>
            </w:pPr>
            <w:r>
              <w:t xml:space="preserve">315</w:t>
            </w:r>
          </w:p>
        </w:tc>
        <w:tc>
          <w:tcPr/>
          <w:p>
            <w:pPr>
              <w:pStyle w:val="Compact"/>
              <w:jc w:val="left"/>
            </w:pPr>
            <w:r>
              <w:t xml:space="preserve">618,956,487</w:t>
            </w:r>
          </w:p>
        </w:tc>
        <w:tc>
          <w:tcPr/>
          <w:p>
            <w:pPr>
              <w:pStyle w:val="Compact"/>
            </w:pPr>
          </w:p>
        </w:tc>
      </w:tr>
      <w:tr>
        <w:tc>
          <w:tcPr/>
          <w:p>
            <w:pPr>
              <w:pStyle w:val="Compact"/>
              <w:jc w:val="left"/>
            </w:pPr>
            <w:r>
              <w:t xml:space="preserve">H1 2023</w:t>
            </w:r>
          </w:p>
        </w:tc>
        <w:tc>
          <w:tcPr/>
          <w:p>
            <w:pPr>
              <w:pStyle w:val="Compact"/>
              <w:jc w:val="left"/>
            </w:pPr>
            <w:r>
              <w:t xml:space="preserve">473</w:t>
            </w:r>
          </w:p>
        </w:tc>
        <w:tc>
          <w:tcPr/>
          <w:p>
            <w:pPr>
              <w:pStyle w:val="Compact"/>
              <w:jc w:val="left"/>
            </w:pPr>
            <w:r>
              <w:t xml:space="preserve">986,400,250</w:t>
            </w:r>
          </w:p>
        </w:tc>
        <w:tc>
          <w:tcPr/>
          <w:p>
            <w:pPr>
              <w:pStyle w:val="Compact"/>
            </w:pPr>
          </w:p>
        </w:tc>
      </w:tr>
      <w:tr>
        <w:tc>
          <w:tcPr/>
          <w:p>
            <w:pPr>
              <w:pStyle w:val="Compact"/>
              <w:jc w:val="left"/>
            </w:pPr>
            <w:r>
              <w:t xml:space="preserve">H2 2023 (Projected)</w:t>
            </w:r>
          </w:p>
        </w:tc>
        <w:tc>
          <w:tcPr/>
          <w:p>
            <w:pPr>
              <w:pStyle w:val="Compact"/>
              <w:jc w:val="left"/>
            </w:pPr>
            <w:r>
              <w:t xml:space="preserve">685</w:t>
            </w:r>
          </w:p>
        </w:tc>
        <w:tc>
          <w:tcPr/>
          <w:p>
            <w:pPr>
              <w:pStyle w:val="Compact"/>
              <w:jc w:val="left"/>
            </w:pPr>
            <w:r>
              <w:t xml:space="preserve">1,498,751,600</w:t>
            </w:r>
          </w:p>
        </w:tc>
        <w:tc>
          <w:tcPr/>
          <w:p>
            <w:pPr>
              <w:pStyle w:val="Compact"/>
            </w:pPr>
          </w:p>
        </w:tc>
      </w:tr>
    </w:tbl>
    <w:p>
      <w:pPr>
        <w:pStyle w:val="BodyText"/>
      </w:pPr>
      <w:r>
        <w:t xml:space="preserve">The data above underscores a robust sales trajectory. Our team's focus on delivering end-to-end Robotics Engineer solutions—from sensor integration to autonomous system deployment—has driven a 53% increase in average contract value in Moscow during 2023. Critical success factors include fluency in Russian-language technical documentation (required by 92% of clients), alignment with Russia's GOST standards, and on-ground presence within Moscow city limits (a non-negotiable for enterprise sales).</w:t>
      </w:r>
    </w:p>
    <w:bookmarkEnd w:id="22"/>
    <w:bookmarkStart w:id="23" w:name="X32c8aaa191528abcf91e3b03dee51d4a561b000"/>
    <w:p>
      <w:pPr>
        <w:pStyle w:val="Heading2"/>
      </w:pPr>
      <w:r>
        <w:t xml:space="preserve">IV. Sales Challenges: Navigating the Russia Moscow Landscape</w:t>
      </w:r>
    </w:p>
    <w:p>
      <w:pPr>
        <w:pStyle w:val="FirstParagraph"/>
      </w:pPr>
      <w:r>
        <w:t xml:space="preserve">Despite strong market growth, our sales pipeline faces three persistent challenges specific to the Russia Moscow context:</w:t>
      </w:r>
    </w:p>
    <w:p>
      <w:pPr>
        <w:numPr>
          <w:ilvl w:val="0"/>
          <w:numId w:val="1001"/>
        </w:numPr>
        <w:pStyle w:val="Compact"/>
      </w:pPr>
      <w:r>
        <w:rPr>
          <w:bCs/>
          <w:b/>
        </w:rPr>
        <w:t xml:space="preserve">Talent Shortage Gap:</w:t>
      </w:r>
      <w:r>
        <w:t xml:space="preserve"> </w:t>
      </w:r>
      <w:r>
        <w:t xml:space="preserve">Only 14% of Robotics Engineers in Moscow hold dual expertise in industrial automation and AI—a critical skill set for high-value contracts. This scarcity directly impacts our ability to fulfill large-scale client requests, causing 23% of qualified leads to slip into competitor pipelines.</w:t>
      </w:r>
    </w:p>
    <w:p>
      <w:pPr>
        <w:numPr>
          <w:ilvl w:val="0"/>
          <w:numId w:val="1001"/>
        </w:numPr>
        <w:pStyle w:val="Compact"/>
      </w:pPr>
      <w:r>
        <w:rPr>
          <w:bCs/>
          <w:b/>
        </w:rPr>
        <w:t xml:space="preserve">Regulatory Complexity:</w:t>
      </w:r>
      <w:r>
        <w:t xml:space="preserve"> </w:t>
      </w:r>
      <w:r>
        <w:t xml:space="preserve">Moscow’s strict data localization laws (Federal Law No. 242-FZ) necessitate customized Robotics Engineer solutions for cloud-based systems. Sales teams require dedicated legal/tech liaisons familiar with Russian regulatory frameworks—adding 15-18 days to the sales cycle.</w:t>
      </w:r>
    </w:p>
    <w:p>
      <w:pPr>
        <w:numPr>
          <w:ilvl w:val="0"/>
          <w:numId w:val="1001"/>
        </w:numPr>
        <w:pStyle w:val="Compact"/>
      </w:pPr>
      <w:r>
        <w:rPr>
          <w:bCs/>
          <w:b/>
        </w:rPr>
        <w:t xml:space="preserve">Cultural Alignment:</w:t>
      </w:r>
      <w:r>
        <w:t xml:space="preserve"> </w:t>
      </w:r>
      <w:r>
        <w:t xml:space="preserve">Moscow enterprises prefer relationship-driven sales approaches over transactional models. Our global sales playbook required localization, including training in "bureaucratic navigation" for state-owned entities like Rosatom and Gazpromneft.</w:t>
      </w:r>
    </w:p>
    <w:bookmarkEnd w:id="23"/>
    <w:bookmarkStart w:id="24" w:name="X83f5365e684d8965d3b4f61f8d9fa6bed98d559"/>
    <w:p>
      <w:pPr>
        <w:pStyle w:val="Heading2"/>
      </w:pPr>
      <w:r>
        <w:t xml:space="preserve">V. Strategic Recommendations for Sales Growth</w:t>
      </w:r>
    </w:p>
    <w:p>
      <w:pPr>
        <w:pStyle w:val="FirstParagraph"/>
      </w:pPr>
      <w:r>
        <w:t xml:space="preserve">To capitalize on the Russia Moscow robotics market, this Sales Report proposes three immediate actions:</w:t>
      </w:r>
    </w:p>
    <w:p>
      <w:pPr>
        <w:numPr>
          <w:ilvl w:val="0"/>
          <w:numId w:val="1002"/>
        </w:numPr>
        <w:pStyle w:val="Compact"/>
      </w:pPr>
      <w:r>
        <w:rPr>
          <w:bCs/>
          <w:b/>
        </w:rPr>
        <w:t xml:space="preserve">Launch "Moscow Robotics Engineer Certification":</w:t>
      </w:r>
      <w:r>
        <w:t xml:space="preserve"> </w:t>
      </w:r>
      <w:r>
        <w:t xml:space="preserve">Partner with Moscow State Technical University (MSTU) to develop a region-specific certification for our engineers. This addresses client trust gaps and differentiates us from competitors lacking local validation—directly boosting conversion rates by 31% (based on pilot data).</w:t>
      </w:r>
    </w:p>
    <w:p>
      <w:pPr>
        <w:numPr>
          <w:ilvl w:val="0"/>
          <w:numId w:val="1002"/>
        </w:numPr>
        <w:pStyle w:val="Compact"/>
      </w:pPr>
      <w:r>
        <w:rPr>
          <w:bCs/>
          <w:b/>
        </w:rPr>
        <w:t xml:space="preserve">Deploy Embedded Sales Engineers in Moscow:</w:t>
      </w:r>
      <w:r>
        <w:t xml:space="preserve"> </w:t>
      </w:r>
      <w:r>
        <w:t xml:space="preserve">Establish a dedicated team of 5 Robotics Engineers within our Moscow office to serve as technical sales advocates. This reduces client onboarding time from 42 days to 18 days and increases deal closure probability by 39% (per Q3 case studies).</w:t>
      </w:r>
    </w:p>
    <w:p>
      <w:pPr>
        <w:numPr>
          <w:ilvl w:val="0"/>
          <w:numId w:val="1002"/>
        </w:numPr>
        <w:pStyle w:val="Compact"/>
      </w:pPr>
      <w:r>
        <w:rPr>
          <w:bCs/>
          <w:b/>
        </w:rPr>
        <w:t xml:space="preserve">Target High-Growth Sectors:</w:t>
      </w:r>
      <w:r>
        <w:t xml:space="preserve"> </w:t>
      </w:r>
      <w:r>
        <w:t xml:space="preserve">Focus sales efforts on Moscow's "Smart City" initiatives (e.g., Moscow Metro AI-driven maintenance), defense robotics (with companies like Almaz-Antey), and agri-tech automation—sectors with 2023 revenue growth exceeding 50%.</w:t>
      </w:r>
    </w:p>
    <w:bookmarkEnd w:id="24"/>
    <w:bookmarkStart w:id="25" w:name="X152c3eed91b62aed9d00b0f80dc1804e12a3ccd"/>
    <w:p>
      <w:pPr>
        <w:pStyle w:val="Heading2"/>
      </w:pPr>
      <w:r>
        <w:t xml:space="preserve">VI. Conclusion: The Critical Role of Robotics Engineer Expertise in Moscow</w:t>
      </w:r>
    </w:p>
    <w:p>
      <w:pPr>
        <w:pStyle w:val="FirstParagraph"/>
      </w:pPr>
      <w:r>
        <w:t xml:space="preserve">The Russia Moscow market for robotics is no longer a niche opportunity—it is the engine of Russia’s industrial modernization strategy. Every enterprise client we secure in this region demands deep, localized Robotics Engineer competency as the non-negotiable foundation for partnership. This Sales Report confirms that sales teams equipped with domain-specific knowledge of Moscow's regulatory environment, talent ecosystem, and sector priorities outperform peers by 47% in contract value and client retention.</w:t>
      </w:r>
    </w:p>
    <w:p>
      <w:pPr>
        <w:pStyle w:val="BodyText"/>
      </w:pPr>
      <w:r>
        <w:t xml:space="preserve">As Russia accelerates its robotics autonomy agenda under Moscow’s leadership, the strategic imperative is clear: invest not merely in selling engineering services, but in becoming an indispensable partner to enterprises seeking Robotics Engineer excellence within the Russia Moscow ecosystem. Our sales momentum is undeniable—but only if we deepen our integration into Moscow's technological fabric. Failure to prioritize this will cede market share to regional competitors who understand that a true Robotics Engineer is not just a role, but the cornerstone of success in Russia’s most critical market.</w:t>
      </w:r>
    </w:p>
    <w:p>
      <w:pPr>
        <w:pStyle w:val="BodyText"/>
      </w:pPr>
      <w:r>
        <w:rPr>
          <w:bCs/>
          <w:b/>
        </w:rPr>
        <w:t xml:space="preserve">Prepared by:</w:t>
      </w:r>
      <w:r>
        <w:t xml:space="preserve"> </w:t>
      </w:r>
      <w:r>
        <w:t xml:space="preserve">Global Sales Intelligence Division, Robotics &amp; Automation Group</w:t>
      </w:r>
      <w:r>
        <w:br/>
      </w:r>
      <w:r>
        <w:rPr>
          <w:bCs/>
          <w:b/>
        </w:rPr>
        <w:t xml:space="preserve">Contact:</w:t>
      </w:r>
      <w:r>
        <w:t xml:space="preserve"> </w:t>
      </w:r>
      <w:r>
        <w:t xml:space="preserve">sales.analytics@roboticssolutions.ru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Robotics Engineer Sales Report: Russia Moscow Market</dc:title>
  <dc:creator/>
  <dc:language>en</dc:language>
  <cp:keywords/>
  <dcterms:created xsi:type="dcterms:W3CDTF">2026-07-21T09:13:25Z</dcterms:created>
  <dcterms:modified xsi:type="dcterms:W3CDTF">2026-07-21T09:13:25Z</dcterms:modified>
</cp:coreProperties>
</file>

<file path=docProps/custom.xml><?xml version="1.0" encoding="utf-8"?>
<Properties xmlns="http://schemas.openxmlformats.org/officeDocument/2006/custom-properties" xmlns:vt="http://schemas.openxmlformats.org/officeDocument/2006/docPropsVTypes"/>
</file>