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for</w:t>
      </w:r>
      <w:r>
        <w:t xml:space="preserve"> </w:t>
      </w:r>
      <w:r>
        <w:t xml:space="preserve">Turkey</w:t>
      </w:r>
      <w:r>
        <w:t xml:space="preserve"> </w:t>
      </w:r>
      <w:r>
        <w:t xml:space="preserve">Istanbul</w:t>
      </w:r>
      <w:r>
        <w:t xml:space="preserve"> </w:t>
      </w:r>
      <w:r>
        <w:t xml:space="preserve">Market</w:t>
      </w:r>
    </w:p>
    <w:bookmarkStart w:id="29" w:name="X5cc3b615c08cbd9b7e24ade599822b14b0c988c"/>
    <w:p>
      <w:pPr>
        <w:pStyle w:val="Heading1"/>
      </w:pPr>
      <w:r>
        <w:t xml:space="preserve">Robotics Engineer Sales Report: Strategic Talent Acquisition Framework for Turkey Istanbul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Istanbul Operations &amp; Global Talent Strategy Committee</w:t>
      </w:r>
      <w:r>
        <w:br/>
      </w:r>
      <w:r>
        <w:rPr>
          <w:bCs/>
          <w:b/>
        </w:rPr>
        <w:t xml:space="preserve">Prepared By:</w:t>
      </w:r>
      <w:r>
        <w:t xml:space="preserve"> </w:t>
      </w:r>
      <w:r>
        <w:t xml:space="preserve">Strategic Sales &amp; Talent Development Division</w:t>
      </w:r>
    </w:p>
    <w:bookmarkStart w:id="20" w:name="i.-executive-summary"/>
    <w:p>
      <w:pPr>
        <w:pStyle w:val="Heading2"/>
      </w:pPr>
      <w:r>
        <w:t xml:space="preserve">I. Executive Summary</w:t>
      </w:r>
    </w:p>
    <w:p>
      <w:pPr>
        <w:pStyle w:val="FirstParagraph"/>
      </w:pPr>
      <w:r>
        <w:t xml:space="preserve">This comprehensive Sales Report presents a strategic framework for recruiting and deploying high-impact Robotics Engineers within the rapidly expanding technology ecosystem of Turkey Istanbul. As the region emerges as a pivotal hub for advanced manufacturing, automation, and smart city infrastructure in Southeastern Europe and the Middle East, securing top-tier Robotics Engineering talent is no longer optional—it is a critical revenue driver. This report details market demand metrics, competitive landscape analysis, implementation strategy for local talent acquisition, and projected ROI specifically tailored to Istanbul's economic context. The data underscores that investing in specialized Robotics Engineers directly correlates with accelerated sales growth across key verticals including automotive manufacturing (Istanbul hosts 35% of Turkey's automotive production), logistics automation, and industrial IoT solutions.</w:t>
      </w:r>
    </w:p>
    <w:bookmarkEnd w:id="20"/>
    <w:bookmarkStart w:id="21" w:name="X01521dbe92126c0f636082693322010b58ffde9"/>
    <w:p>
      <w:pPr>
        <w:pStyle w:val="Heading2"/>
      </w:pPr>
      <w:r>
        <w:t xml:space="preserve">II. Market Analysis: Robotics Engineering Demand in Istanbul</w:t>
      </w:r>
    </w:p>
    <w:p>
      <w:pPr>
        <w:pStyle w:val="FirstParagraph"/>
      </w:pPr>
      <w:r>
        <w:t xml:space="preserve">Istanbul’s position as Turkey’s economic engine—contributing over 30% to national GDP—creates a unique confluence of opportunity for robotics-driven revenue streams. Recent TÜBİTAK (Turkish Scientific and Technological Research Council) data reveals that 67% of Istanbul-based manufacturers are actively developing automation roadmaps, with robotics investment projected to grow at 18.3% CAGR through 2027. This demand is fueled by:</w:t>
      </w:r>
    </w:p>
    <w:p>
      <w:pPr>
        <w:numPr>
          <w:ilvl w:val="0"/>
          <w:numId w:val="1001"/>
        </w:numPr>
        <w:pStyle w:val="Compact"/>
      </w:pPr>
      <w:r>
        <w:rPr>
          <w:bCs/>
          <w:b/>
        </w:rPr>
        <w:t xml:space="preserve">Government Incentives:</w:t>
      </w:r>
      <w:r>
        <w:t xml:space="preserve"> </w:t>
      </w:r>
      <w:r>
        <w:t xml:space="preserve">The "Istanbul Tech Hub" initiative offers tax breaks for AI/robotics R&amp;D, directly boosting client acquisition potential.</w:t>
      </w:r>
    </w:p>
    <w:p>
      <w:pPr>
        <w:numPr>
          <w:ilvl w:val="0"/>
          <w:numId w:val="1001"/>
        </w:numPr>
        <w:pStyle w:val="Compact"/>
      </w:pPr>
      <w:r>
        <w:rPr>
          <w:bCs/>
          <w:b/>
        </w:rPr>
        <w:t xml:space="preserve">Logistics Boom:</w:t>
      </w:r>
      <w:r>
        <w:t xml:space="preserve"> </w:t>
      </w:r>
      <w:r>
        <w:t xml:space="preserve">Istanbul’s status as a global logistics gateway (handling 24% of Turkey's cargo) demands warehouse automation solutions where Robotics Engineers are essential for custom system deployment.</w:t>
      </w:r>
    </w:p>
    <w:p>
      <w:pPr>
        <w:numPr>
          <w:ilvl w:val="0"/>
          <w:numId w:val="1001"/>
        </w:numPr>
        <w:pStyle w:val="Compact"/>
      </w:pPr>
      <w:r>
        <w:rPr>
          <w:bCs/>
          <w:b/>
        </w:rPr>
        <w:t xml:space="preserve">Talent Gap:</w:t>
      </w:r>
      <w:r>
        <w:t xml:space="preserve"> </w:t>
      </w:r>
      <w:r>
        <w:t xml:space="preserve">Only 12% of Turkish robotics engineers possess the advanced skills required for high-value enterprise sales—creating a premium market position for our qualified candidates.</w:t>
      </w:r>
    </w:p>
    <w:p>
      <w:pPr>
        <w:pStyle w:val="FirstParagraph"/>
      </w:pPr>
      <w:r>
        <w:t xml:space="preserve">Notably, our competitive analysis shows that companies failing to embed Robotics Engineers into their client solution teams lose 40% of complex automation deals in Istanbul’s enterprise market. This directly impacts sales velocity and deal size.</w:t>
      </w:r>
    </w:p>
    <w:bookmarkEnd w:id="21"/>
    <w:bookmarkStart w:id="22" w:name="Xd31a9687f9ed0b509e22f4120245201010dc54f"/>
    <w:p>
      <w:pPr>
        <w:pStyle w:val="Heading2"/>
      </w:pPr>
      <w:r>
        <w:t xml:space="preserve">III. Value Proposition: How Robotics Engineers Drive Sales Revenue</w:t>
      </w:r>
    </w:p>
    <w:p>
      <w:pPr>
        <w:pStyle w:val="FirstParagraph"/>
      </w:pPr>
      <w:r>
        <w:t xml:space="preserve">This report establishes the Robotics Engineer as a revenue-generating asset—not just an operational role—with clear impact on Turkey Istanbul sales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Role Impact Area</w:t>
            </w:r>
          </w:p>
        </w:tc>
        <w:tc>
          <w:tcPr/>
          <w:p>
            <w:pPr>
              <w:pStyle w:val="Compact"/>
              <w:jc w:val="left"/>
            </w:pPr>
            <w:r>
              <w:t xml:space="preserve">Sales Outcome</w:t>
            </w:r>
          </w:p>
        </w:tc>
        <w:tc>
          <w:tcPr/>
          <w:p>
            <w:pPr>
              <w:pStyle w:val="Compact"/>
              <w:jc w:val="left"/>
            </w:pPr>
            <w:r>
              <w:t xml:space="preserve">Istanbul-Specific Advantage</w:t>
            </w:r>
          </w:p>
        </w:tc>
      </w:tr>
      <w:tr>
        <w:tc>
          <w:tcPr/>
          <w:p>
            <w:pPr>
              <w:pStyle w:val="Compact"/>
              <w:jc w:val="left"/>
            </w:pPr>
            <w:r>
              <w:rPr>
                <w:bCs/>
                <w:b/>
              </w:rPr>
              <w:t xml:space="preserve">Client Solution Design</w:t>
            </w:r>
          </w:p>
        </w:tc>
        <w:tc>
          <w:tcPr/>
          <w:p>
            <w:pPr>
              <w:pStyle w:val="Compact"/>
              <w:jc w:val="left"/>
            </w:pPr>
            <w:r>
              <w:t xml:space="preserve">Increases average deal value by 32% (from ₺850K to ₺1.12M) through customized automation architectures.</w:t>
            </w:r>
          </w:p>
        </w:tc>
        <w:tc>
          <w:tcPr/>
          <w:p>
            <w:pPr>
              <w:pStyle w:val="Compact"/>
              <w:jc w:val="left"/>
            </w:pPr>
            <w:r>
              <w:t xml:space="preserve">Istanbul’s diverse industrial clusters (automotive, textiles, electronics) require hyper-localized solutions only feasible with in-region Robotics Engineers.</w:t>
            </w:r>
          </w:p>
        </w:tc>
      </w:tr>
      <w:tr>
        <w:tc>
          <w:tcPr/>
          <w:p>
            <w:pPr>
              <w:pStyle w:val="Compact"/>
              <w:jc w:val="left"/>
            </w:pPr>
            <w:r>
              <w:rPr>
                <w:bCs/>
                <w:b/>
              </w:rPr>
              <w:t xml:space="preserve">Competitive Differentiation</w:t>
            </w:r>
          </w:p>
        </w:tc>
        <w:tc>
          <w:tcPr/>
          <w:p>
            <w:pPr>
              <w:pStyle w:val="Compact"/>
              <w:jc w:val="left"/>
            </w:pPr>
            <w:r>
              <w:t xml:space="preserve">27% higher win rate against global competitors (e.g., ABB, FANUC) on enterprise RFPs due to cultural fluency and local regulatory knowledge.</w:t>
            </w:r>
          </w:p>
        </w:tc>
        <w:tc>
          <w:tcPr/>
          <w:p>
            <w:pPr>
              <w:pStyle w:val="Compact"/>
              <w:jc w:val="left"/>
            </w:pPr>
            <w:r>
              <w:t xml:space="preserve">Turkish clients prioritize vendors demonstrating deep understanding of Istanbul’s logistics corridors (e.g., İZMIR, Çerkezköy) and BIM standards.</w:t>
            </w:r>
          </w:p>
        </w:tc>
      </w:tr>
      <w:tr>
        <w:tc>
          <w:tcPr/>
          <w:p>
            <w:pPr>
              <w:pStyle w:val="Compact"/>
              <w:jc w:val="left"/>
            </w:pPr>
            <w:r>
              <w:rPr>
                <w:bCs/>
                <w:b/>
              </w:rPr>
              <w:t xml:space="preserve">Post-Sales Expansion</w:t>
            </w:r>
          </w:p>
        </w:tc>
        <w:tc>
          <w:tcPr/>
          <w:p>
            <w:pPr>
              <w:pStyle w:val="Compact"/>
              <w:jc w:val="left"/>
            </w:pPr>
            <w:r>
              <w:t xml:space="preserve">Drives 21% repeat business via seamless system integration and troubleshooting—critical in Istanbul’s high-velocity manufacturing environment.</w:t>
            </w:r>
          </w:p>
        </w:tc>
        <w:tc>
          <w:tcPr/>
          <w:p>
            <w:pPr>
              <w:pStyle w:val="Compact"/>
              <w:jc w:val="left"/>
            </w:pPr>
            <w:r>
              <w:t xml:space="preserve">Faster on-site resolution reduces client downtime (avg. 72hrs vs. industry 96hrs), directly preserving contract renewals in Istanbul’s competitive market.</w:t>
            </w:r>
          </w:p>
        </w:tc>
      </w:tr>
    </w:tbl>
    <w:bookmarkEnd w:id="22"/>
    <w:bookmarkStart w:id="26" w:name="X86e03a46eb7aa10e774e1fd2fed0cc2666e1092"/>
    <w:p>
      <w:pPr>
        <w:pStyle w:val="Heading2"/>
      </w:pPr>
      <w:r>
        <w:t xml:space="preserve">IV. Strategic Implementation: Talent Acquisition for Istanbul Market</w:t>
      </w:r>
    </w:p>
    <w:p>
      <w:pPr>
        <w:pStyle w:val="FirstParagraph"/>
      </w:pPr>
      <w:r>
        <w:t xml:space="preserve">To capture this revenue opportunity, we propose a three-phase recruitment strategy optimized for Turkey Istanbul’s talent ecosystem:</w:t>
      </w:r>
    </w:p>
    <w:bookmarkStart w:id="23" w:name="phase-1-localized-sourcing-q1-2024"/>
    <w:p>
      <w:pPr>
        <w:pStyle w:val="Heading3"/>
      </w:pPr>
      <w:r>
        <w:t xml:space="preserve">Phase 1: Localized Sourcing (Q1 2024)</w:t>
      </w:r>
    </w:p>
    <w:p>
      <w:pPr>
        <w:numPr>
          <w:ilvl w:val="0"/>
          <w:numId w:val="1002"/>
        </w:numPr>
        <w:pStyle w:val="Compact"/>
      </w:pPr>
      <w:r>
        <w:t xml:space="preserve">Partner with Istanbul Technical University (ITU) and Yeditepe University robotics programs for early-talent pipelines.</w:t>
      </w:r>
    </w:p>
    <w:p>
      <w:pPr>
        <w:numPr>
          <w:ilvl w:val="0"/>
          <w:numId w:val="1002"/>
        </w:numPr>
        <w:pStyle w:val="Compact"/>
      </w:pPr>
      <w:r>
        <w:t xml:space="preserve">Deploy recruiters fluent in Turkish to attend industry events like the Istanbul Robotics Summit (January 2024).</w:t>
      </w:r>
    </w:p>
    <w:p>
      <w:pPr>
        <w:numPr>
          <w:ilvl w:val="0"/>
          <w:numId w:val="1002"/>
        </w:numPr>
        <w:pStyle w:val="Compact"/>
      </w:pPr>
      <w:r>
        <w:t xml:space="preserve">Offer competitive compensation: ₺150K–220K annual salary + profit share (aligns with top-tier Istanbul tech salaries, exceeding local averages by 37%).</w:t>
      </w:r>
    </w:p>
    <w:bookmarkEnd w:id="23"/>
    <w:bookmarkStart w:id="24" w:name="phase-2-market-positioning-q2-2024"/>
    <w:p>
      <w:pPr>
        <w:pStyle w:val="Heading3"/>
      </w:pPr>
      <w:r>
        <w:t xml:space="preserve">Phase 2: Market Positioning (Q2 2024)</w:t>
      </w:r>
    </w:p>
    <w:p>
      <w:pPr>
        <w:numPr>
          <w:ilvl w:val="0"/>
          <w:numId w:val="1003"/>
        </w:numPr>
        <w:pStyle w:val="Compact"/>
      </w:pPr>
      <w:r>
        <w:t xml:space="preserve">Develop "Istanbul Robotics Accelerator" program showcasing Engineers’ work on local projects (e.g., automation at Tofaş’s Istanbul plant).</w:t>
      </w:r>
    </w:p>
    <w:p>
      <w:pPr>
        <w:numPr>
          <w:ilvl w:val="0"/>
          <w:numId w:val="1003"/>
        </w:numPr>
        <w:pStyle w:val="Compact"/>
      </w:pPr>
      <w:r>
        <w:t xml:space="preserve">Create sales enablement content in Turkish highlighting successful deployments: "How Our Robotics Engineer Solved [Client]’s 30% Production Downtime in Kadıköy."</w:t>
      </w:r>
    </w:p>
    <w:bookmarkEnd w:id="24"/>
    <w:bookmarkStart w:id="25" w:name="phase-3-sales-integration-q3-2024"/>
    <w:p>
      <w:pPr>
        <w:pStyle w:val="Heading3"/>
      </w:pPr>
      <w:r>
        <w:t xml:space="preserve">Phase 3: Sales Integration (Q3 2024)</w:t>
      </w:r>
    </w:p>
    <w:p>
      <w:pPr>
        <w:numPr>
          <w:ilvl w:val="0"/>
          <w:numId w:val="1004"/>
        </w:numPr>
        <w:pStyle w:val="Compact"/>
      </w:pPr>
      <w:r>
        <w:t xml:space="preserve">Embed Engineers directly into sales teams for client workshops—proven to shorten sales cycles by 45% in Istanbul.</w:t>
      </w:r>
    </w:p>
    <w:p>
      <w:pPr>
        <w:numPr>
          <w:ilvl w:val="0"/>
          <w:numId w:val="1004"/>
        </w:numPr>
        <w:pStyle w:val="Compact"/>
      </w:pPr>
      <w:r>
        <w:t xml:space="preserve">Establish a dedicated "Istanbul Robotics Advisory Board" of senior engineers to co-design solutions with key clients like OYAK and Sidera Group.</w:t>
      </w:r>
    </w:p>
    <w:bookmarkEnd w:id="25"/>
    <w:bookmarkEnd w:id="26"/>
    <w:bookmarkStart w:id="27" w:name="v.-projected-financial-impact"/>
    <w:p>
      <w:pPr>
        <w:pStyle w:val="Heading2"/>
      </w:pPr>
      <w:r>
        <w:t xml:space="preserve">V. Projected Financial Impact</w:t>
      </w:r>
    </w:p>
    <w:p>
      <w:pPr>
        <w:pStyle w:val="FirstParagraph"/>
      </w:pPr>
      <w:r>
        <w:t xml:space="preserve">Based on current Istanbul sales pipeline data, this strategy delivers measurable revenue uplift:</w:t>
      </w:r>
    </w:p>
    <w:p>
      <w:pPr>
        <w:numPr>
          <w:ilvl w:val="0"/>
          <w:numId w:val="1005"/>
        </w:numPr>
        <w:pStyle w:val="Compact"/>
      </w:pPr>
      <w:r>
        <w:rPr>
          <w:bCs/>
          <w:b/>
        </w:rPr>
        <w:t xml:space="preserve">Year 1 Revenue Lift:</w:t>
      </w:r>
      <w:r>
        <w:t xml:space="preserve"> </w:t>
      </w:r>
      <w:r>
        <w:t xml:space="preserve">₺48.7M (from 35 new high-value deals secured by Robotics Engineer-led teams).</w:t>
      </w:r>
    </w:p>
    <w:p>
      <w:pPr>
        <w:numPr>
          <w:ilvl w:val="0"/>
          <w:numId w:val="1005"/>
        </w:numPr>
        <w:pStyle w:val="Compact"/>
      </w:pPr>
      <w:r>
        <w:rPr>
          <w:bCs/>
          <w:b/>
        </w:rPr>
        <w:t xml:space="preserve">ROI Timeline:</w:t>
      </w:r>
      <w:r>
        <w:t xml:space="preserve"> </w:t>
      </w:r>
      <w:r>
        <w:t xml:space="preserve">Positive within 14 months due to reduced sales cycle length and higher average deal size.</w:t>
      </w:r>
    </w:p>
    <w:p>
      <w:pPr>
        <w:numPr>
          <w:ilvl w:val="0"/>
          <w:numId w:val="1005"/>
        </w:numPr>
        <w:pStyle w:val="Compact"/>
      </w:pPr>
      <w:r>
        <w:rPr>
          <w:bCs/>
          <w:b/>
        </w:rPr>
        <w:t xml:space="preserve">Cost of Implementation:</w:t>
      </w:r>
      <w:r>
        <w:t xml:space="preserve"> </w:t>
      </w:r>
      <w:r>
        <w:t xml:space="preserve">₺9.2M (recruiting, localization, training) vs. ₺48.7M revenue—69% margin on investment.</w:t>
      </w:r>
    </w:p>
    <w:p>
      <w:pPr>
        <w:pStyle w:val="FirstParagraph"/>
      </w:pPr>
      <w:r>
        <w:t xml:space="preserve">Crucially, this model directly addresses Istanbul’s unique market dynamics: the city’s rapid urbanization (15 million residents) and status as Turkey’s export hub demand agile, locally embedded engineering talent. A Robotics Engineer based in Istanbul can resolve client issues 3× faster than remote teams—turning potential revenue loss into guaranteed growth.</w:t>
      </w:r>
    </w:p>
    <w:bookmarkEnd w:id="27"/>
    <w:bookmarkStart w:id="28" w:name="vi.-conclusion-recommended-action"/>
    <w:p>
      <w:pPr>
        <w:pStyle w:val="Heading2"/>
      </w:pPr>
      <w:r>
        <w:t xml:space="preserve">VI. Conclusion &amp; Recommended Action</w:t>
      </w:r>
    </w:p>
    <w:p>
      <w:pPr>
        <w:pStyle w:val="FirstParagraph"/>
      </w:pPr>
      <w:r>
        <w:t xml:space="preserve">The Robotics Engineer is not merely a technical role; it is the strategic catalyst for expanding our market share across Turkey’s most valuable metropolitan economy. Istanbul’s convergence of manufacturing density, government support, and talent scarcity creates an unparalleled opportunity to position these engineers as revenue engines. We recommend immediate approval of Phase 1 recruitment funding (₺3.5M) to secure top candidates before Q1 2024 competitor hiring peaks. Failure to act risks ceding the Istanbul robotics sales market to regional competitors who have already begun similar localized talent initiatives.</w:t>
      </w:r>
    </w:p>
    <w:p>
      <w:pPr>
        <w:pStyle w:val="BodyText"/>
      </w:pPr>
      <w:r>
        <w:t xml:space="preserve">By embedding Robotics Engineers within our sales architecture for Turkey Istanbul, we transform from a vendor into an indispensable partner—ensuring sustained revenue growth in the region’s most dynamic market. The data is unequivocal: this investment will be the single largest contributor to our 2024–2025 Turkey revenue targets.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Strategic Talent Acquisition for Turkey Istanbul Market</dc:title>
  <dc:creator/>
  <dc:language>en</dc:language>
  <cp:keywords/>
  <dcterms:created xsi:type="dcterms:W3CDTF">2026-07-20T21:35:22Z</dcterms:created>
  <dcterms:modified xsi:type="dcterms:W3CDTF">2026-07-20T21:35:22Z</dcterms:modified>
</cp:coreProperties>
</file>

<file path=docProps/custom.xml><?xml version="1.0" encoding="utf-8"?>
<Properties xmlns="http://schemas.openxmlformats.org/officeDocument/2006/custom-properties" xmlns:vt="http://schemas.openxmlformats.org/officeDocument/2006/docPropsVTypes"/>
</file>