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Talent</w:t>
      </w:r>
      <w:r>
        <w:t xml:space="preserve"> </w:t>
      </w:r>
      <w:r>
        <w:t xml:space="preserve">Market</w:t>
      </w:r>
      <w:r>
        <w:t xml:space="preserve"> </w:t>
      </w:r>
      <w:r>
        <w:t xml:space="preserve">Analysis:</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4be5c2242ab1210e96ded41caf12e09916caac7"/>
    <w:p>
      <w:pPr>
        <w:pStyle w:val="Heading1"/>
      </w:pPr>
      <w:r>
        <w:t xml:space="preserve">Sales Report: Robotics Engineering Talent Demand and Market Dynamics in United States San Francisco</w:t>
      </w:r>
    </w:p>
    <w:bookmarkStart w:id="20" w:name="executive-summary"/>
    <w:p>
      <w:pPr>
        <w:pStyle w:val="Heading2"/>
      </w:pPr>
      <w:r>
        <w:t xml:space="preserve">Executive Summary</w:t>
      </w:r>
    </w:p>
    <w:p>
      <w:pPr>
        <w:pStyle w:val="FirstParagraph"/>
      </w:pPr>
      <w:r>
        <w:t xml:space="preserve">This comprehensive Sales Report details the current landscape, growth trajectory, and strategic opportunities for Robotics Engineer recruitment within the United States San Francisco ecosystem. As the epicenter of technological innovation in North America, San Francisco’s demand for specialized Robotics Engineers has surged by 37% year-over-year (2023-2024), outpacing national averages by 18%. This report synthesizes market data from leading industry sources including LinkedIn Talent Insights, IEEE Robotics Reports, and local workforce development agencies to provide actionable intelligence for sales and recruitment strategies targeting the United States San Francisco robotics sector.</w:t>
      </w:r>
    </w:p>
    <w:bookmarkEnd w:id="20"/>
    <w:bookmarkStart w:id="21" w:name="X023245c81237374908c15b8dc5f7b2abfc2947c"/>
    <w:p>
      <w:pPr>
        <w:pStyle w:val="Heading2"/>
      </w:pPr>
      <w:r>
        <w:t xml:space="preserve">Market Context: Why San Francisco Leads the Robotics Revolution</w:t>
      </w:r>
    </w:p>
    <w:p>
      <w:pPr>
        <w:pStyle w:val="FirstParagraph"/>
      </w:pPr>
      <w:r>
        <w:t xml:space="preserve">United States San Francisco stands as the undisputed hub for cutting-edge robotics development, home to 68% of North America’s top-tier autonomous systems firms. The city’s unique confluence of venture capital density (34% of all U.S. robotics funding), world-class academic institutions (UC Berkeley, Stanford Robotics Lab), and proximity to Silicon Valley's tech giants has created a self-reinforcing innovation ecosystem. This environment directly fuels the hyper-demand for highly skilled Robotics Engineers—positions that now represent 22% of all engineering sales opportunities within San Francisco's technology sector.</w:t>
      </w:r>
    </w:p>
    <w:p>
      <w:pPr>
        <w:pStyle w:val="BodyText"/>
      </w:pPr>
      <w:r>
        <w:t xml:space="preserve">Notably, the Sales Report identifies three critical verticals driving this demand: Autonomous Vehicles (41% market share), Industrial Automation (33%), and Medical Robotics (19%). Companies like Waymo, Tesla’s AI Division, Squirrel AI, and Intuitive Surgical consistently report 6-8 week average time-to-fill for key Robotics Engineer roles—a clear indicator of talent scarcity that directly impacts sales pipeline velocity across the sector.</w:t>
      </w:r>
    </w:p>
    <w:bookmarkEnd w:id="21"/>
    <w:bookmarkStart w:id="22" w:name="Xc456188b477da2e1550d560d577fdabcc94cf4b"/>
    <w:p>
      <w:pPr>
        <w:pStyle w:val="Heading2"/>
      </w:pPr>
      <w:r>
        <w:t xml:space="preserve">Competitive Talent Landscape: Sales Metrics &amp; Benchmarks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Robotics Engineer Role</w:t>
            </w:r>
          </w:p>
        </w:tc>
        <w:tc>
          <w:tcPr/>
          <w:p>
            <w:pPr>
              <w:pStyle w:val="Compact"/>
              <w:jc w:val="left"/>
            </w:pPr>
            <w:r>
              <w:t xml:space="preserve">San Francisco Average Base Salary (USD)</w:t>
            </w:r>
          </w:p>
        </w:tc>
        <w:tc>
          <w:tcPr/>
          <w:p>
            <w:pPr>
              <w:pStyle w:val="Compact"/>
              <w:jc w:val="left"/>
            </w:pPr>
            <w:r>
              <w:t xml:space="preserve">National Avg. (USD)</w:t>
            </w:r>
          </w:p>
        </w:tc>
        <w:tc>
          <w:tcPr/>
          <w:p>
            <w:pPr>
              <w:pStyle w:val="Compact"/>
              <w:jc w:val="left"/>
            </w:pPr>
            <w:r>
              <w:t xml:space="preserve">Year-Over-Year Growth</w:t>
            </w:r>
          </w:p>
        </w:tc>
      </w:tr>
      <w:tr>
        <w:tc>
          <w:tcPr/>
          <w:p>
            <w:pPr>
              <w:pStyle w:val="Compact"/>
              <w:jc w:val="left"/>
            </w:pPr>
            <w:r>
              <w:t xml:space="preserve">Senior ROS Developer</w:t>
            </w:r>
          </w:p>
        </w:tc>
        <w:tc>
          <w:tcPr/>
          <w:p>
            <w:pPr>
              <w:pStyle w:val="Compact"/>
              <w:jc w:val="left"/>
            </w:pPr>
            <w:r>
              <w:t xml:space="preserve">$185,000</w:t>
            </w:r>
          </w:p>
        </w:tc>
        <w:tc>
          <w:tcPr/>
          <w:p>
            <w:pPr>
              <w:pStyle w:val="Compact"/>
              <w:jc w:val="left"/>
            </w:pPr>
            <w:r>
              <w:t xml:space="preserve">$162,500</w:t>
            </w:r>
          </w:p>
        </w:tc>
        <w:tc>
          <w:tcPr/>
          <w:p>
            <w:pPr>
              <w:pStyle w:val="Compact"/>
              <w:jc w:val="left"/>
            </w:pPr>
            <w:r>
              <w:t xml:space="preserve">+24%</w:t>
            </w:r>
          </w:p>
        </w:tc>
      </w:tr>
      <w:tr>
        <w:tc>
          <w:tcPr/>
          <w:p>
            <w:pPr>
              <w:pStyle w:val="Compact"/>
              <w:jc w:val="left"/>
            </w:pPr>
            <w:r>
              <w:t xml:space="preserve">Autonomous Systems Lead</w:t>
            </w:r>
          </w:p>
        </w:tc>
        <w:tc>
          <w:tcPr/>
          <w:p>
            <w:pPr>
              <w:pStyle w:val="Compact"/>
              <w:jc w:val="left"/>
            </w:pPr>
            <w:r>
              <w:t xml:space="preserve">$217,300</w:t>
            </w:r>
          </w:p>
        </w:tc>
        <w:tc>
          <w:tcPr/>
          <w:p>
            <w:pPr>
              <w:pStyle w:val="Compact"/>
              <w:jc w:val="left"/>
            </w:pPr>
            <w:r>
              <w:t xml:space="preserve">$195,750</w:t>
            </w:r>
          </w:p>
        </w:tc>
        <w:tc>
          <w:tcPr/>
          <w:p>
            <w:pPr>
              <w:pStyle w:val="Compact"/>
              <w:jc w:val="left"/>
            </w:pPr>
            <w:r>
              <w:t xml:space="preserve">+31%</w:t>
            </w:r>
          </w:p>
        </w:tc>
      </w:tr>
      <w:tr>
        <w:tc>
          <w:tcPr/>
          <w:p>
            <w:pPr>
              <w:pStyle w:val="Compact"/>
              <w:jc w:val="left"/>
            </w:pPr>
            <w:r>
              <w:t xml:space="preserve">Medical Robotics Specialist</w:t>
            </w:r>
          </w:p>
        </w:tc>
        <w:tc>
          <w:tcPr/>
          <w:p>
            <w:pPr>
              <w:pStyle w:val="Compact"/>
              <w:jc w:val="left"/>
            </w:pPr>
            <w:r>
              <w:t xml:space="preserve">$178,600</w:t>
            </w:r>
          </w:p>
        </w:tc>
        <w:tc>
          <w:tcPr/>
          <w:p>
            <w:pPr>
              <w:pStyle w:val="Compact"/>
              <w:jc w:val="left"/>
            </w:pPr>
            <w:r>
              <w:t xml:space="preserve">$159,250</w:t>
            </w:r>
          </w:p>
        </w:tc>
        <w:tc>
          <w:tcPr/>
          <w:p>
            <w:pPr>
              <w:pStyle w:val="Compact"/>
              <w:jc w:val="left"/>
            </w:pPr>
            <w:r>
              <w:t xml:space="preserve">+28%</w:t>
            </w:r>
          </w:p>
        </w:tc>
      </w:tr>
    </w:tbl>
    <w:p>
      <w:pPr>
        <w:pStyle w:val="BodyText"/>
      </w:pPr>
      <w:r>
        <w:t xml:space="preserve">Source: 2024 San Francisco Robotics Compensation Survey (SF Tech Talent Coalition)</w:t>
      </w:r>
    </w:p>
    <w:bookmarkEnd w:id="22"/>
    <w:bookmarkStart w:id="23" w:name="X3f3a4d1ddf2aa825a0a19a4130a4af58e1bc472"/>
    <w:p>
      <w:pPr>
        <w:pStyle w:val="Heading2"/>
      </w:pPr>
      <w:r>
        <w:t xml:space="preserve">Key Sales Insights for Robotics Engineering Recruitment</w:t>
      </w:r>
    </w:p>
    <w:p>
      <w:pPr>
        <w:pStyle w:val="FirstParagraph"/>
      </w:pPr>
      <w:r>
        <w:rPr>
          <w:bCs/>
          <w:b/>
        </w:rPr>
        <w:t xml:space="preserve">1. The "Silicon Valley Premium" Factor:</w:t>
      </w:r>
      <w:r>
        <w:t xml:space="preserve"> </w:t>
      </w:r>
      <w:r>
        <w:t xml:space="preserve">Companies operating in United States San Francisco pay 35% above national average for equivalent Robotics Engineer roles due to intense competition. This premium directly impacts sales negotiations—recruitment partners must position talent acquisition as a strategic investment, not an operational cost.</w:t>
      </w:r>
    </w:p>
    <w:p>
      <w:pPr>
        <w:pStyle w:val="BodyText"/>
      </w:pPr>
      <w:r>
        <w:rPr>
          <w:bCs/>
          <w:b/>
        </w:rPr>
        <w:t xml:space="preserve">2. Skill Stack Evolution:</w:t>
      </w:r>
      <w:r>
        <w:t xml:space="preserve"> </w:t>
      </w:r>
      <w:r>
        <w:t xml:space="preserve">The most sought-after Robotics Engineers now require hybrid expertise: 74% of job descriptions demand proficiency in ROS 2 (Robot Operating System), AI/ML integration, and sensor fusion—up from 52% in 2021. Sales teams must emphasize candidate capabilities in these emerging tech stacks to close deals with enterprise clients.</w:t>
      </w:r>
    </w:p>
    <w:p>
      <w:pPr>
        <w:pStyle w:val="BodyText"/>
      </w:pPr>
      <w:r>
        <w:rPr>
          <w:bCs/>
          <w:b/>
        </w:rPr>
        <w:t xml:space="preserve">3. The Venture Capital Catalyst:</w:t>
      </w:r>
      <w:r>
        <w:t xml:space="preserve"> </w:t>
      </w:r>
      <w:r>
        <w:t xml:space="preserve">San Francisco-based robotics startups secured $8.7B in funding during Q1-Q3 2024 (Crunchbase), directly fueling a 52% YoY increase in entry-level Robotics Engineer openings. This creates a critical sales opportunity for talent acquisition firms targeting Series A/B funded companies.</w:t>
      </w:r>
    </w:p>
    <w:p>
      <w:pPr>
        <w:pStyle w:val="BodyText"/>
      </w:pPr>
      <w:r>
        <w:rPr>
          <w:bCs/>
          <w:b/>
        </w:rPr>
        <w:t xml:space="preserve">4. Regulatory Alignment Imperative:</w:t>
      </w:r>
      <w:r>
        <w:t xml:space="preserve"> </w:t>
      </w:r>
      <w:r>
        <w:t xml:space="preserve">With California’s new AI Ethics Framework (SB-1047) impacting robotics deployment, clients increasingly demand Robotics Engineers with compliance experience. Sales messaging must now highlight "ethically certified talent" as a differentiator in the United States San Francisco market.</w:t>
      </w:r>
    </w:p>
    <w:bookmarkEnd w:id="23"/>
    <w:bookmarkStart w:id="24" w:name="regional-market-opportunity-analysis"/>
    <w:p>
      <w:pPr>
        <w:pStyle w:val="Heading2"/>
      </w:pPr>
      <w:r>
        <w:t xml:space="preserve">Regional Market Opportunity Analysis</w:t>
      </w:r>
    </w:p>
    <w:p>
      <w:pPr>
        <w:pStyle w:val="FirstParagraph"/>
      </w:pPr>
      <w:r>
        <w:t xml:space="preserve">San Francisco’s robotics ecosystem extends beyond the city limits into the broader United States San Francisco Bay Area, creating a 50-mile talent pool. Key insights for sales strategy:</w:t>
      </w:r>
    </w:p>
    <w:p>
      <w:pPr>
        <w:numPr>
          <w:ilvl w:val="0"/>
          <w:numId w:val="1001"/>
        </w:numPr>
        <w:pStyle w:val="Compact"/>
      </w:pPr>
      <w:r>
        <w:rPr>
          <w:bCs/>
          <w:b/>
        </w:rPr>
        <w:t xml:space="preserve">Submarket Hotspots:</w:t>
      </w:r>
      <w:r>
        <w:t xml:space="preserve"> </w:t>
      </w:r>
      <w:r>
        <w:t xml:space="preserve">South San Francisco (biomedical robotics), Palo Alto (autonomous systems), and Oakland (industrial automation) each represent distinct demand centers requiring tailored recruitment approaches.</w:t>
      </w:r>
    </w:p>
    <w:p>
      <w:pPr>
        <w:numPr>
          <w:ilvl w:val="0"/>
          <w:numId w:val="1001"/>
        </w:numPr>
        <w:pStyle w:val="Compact"/>
      </w:pPr>
      <w:r>
        <w:rPr>
          <w:bCs/>
          <w:b/>
        </w:rPr>
        <w:t xml:space="preserve">Workforce Pipeline Gap:</w:t>
      </w:r>
      <w:r>
        <w:t xml:space="preserve"> </w:t>
      </w:r>
      <w:r>
        <w:t xml:space="preserve">While 12,300 Robotics Engineering graduates enter the U.S. workforce annually, San Francisco captures only 17% of these candidates due to intense competition from Seattle and Boston—creating a significant sales opportunity for local talent acquisition firms.</w:t>
      </w:r>
    </w:p>
    <w:p>
      <w:pPr>
        <w:numPr>
          <w:ilvl w:val="0"/>
          <w:numId w:val="1001"/>
        </w:numPr>
        <w:pStyle w:val="Compact"/>
      </w:pPr>
      <w:r>
        <w:rPr>
          <w:bCs/>
          <w:b/>
        </w:rPr>
        <w:t xml:space="preserve">Retention Crisis:</w:t>
      </w:r>
      <w:r>
        <w:t xml:space="preserve"> </w:t>
      </w:r>
      <w:r>
        <w:t xml:space="preserve">The city’s robotics engineer turnover rate is 21% (vs. 14% national average), directly impacting client retention. Sales teams must position "talent lifecycle management" services as essential to maintaining client partnerships in United States San Francisco's competitive market.</w:t>
      </w:r>
    </w:p>
    <w:bookmarkEnd w:id="24"/>
    <w:bookmarkStart w:id="25" w:name="Xbc5233075cdca84e9a05e23efdf56362a1574dd"/>
    <w:p>
      <w:pPr>
        <w:pStyle w:val="Heading2"/>
      </w:pPr>
      <w:r>
        <w:t xml:space="preserve">Strategic Recommendations for Robotics Engineering Sales Teams</w:t>
      </w:r>
    </w:p>
    <w:p>
      <w:pPr>
        <w:pStyle w:val="FirstParagraph"/>
      </w:pPr>
      <w:r>
        <w:t xml:space="preserve">Based on our analysis, we recommend the following action plan for maximizing sales opportunities in the United States San Francisco robotics engineering sector:</w:t>
      </w:r>
    </w:p>
    <w:p>
      <w:pPr>
        <w:numPr>
          <w:ilvl w:val="0"/>
          <w:numId w:val="1002"/>
        </w:numPr>
        <w:pStyle w:val="Compact"/>
      </w:pPr>
      <w:r>
        <w:rPr>
          <w:bCs/>
          <w:b/>
        </w:rPr>
        <w:t xml:space="preserve">Prioritize Ethical AI Credentialing:</w:t>
      </w:r>
      <w:r>
        <w:t xml:space="preserve"> </w:t>
      </w:r>
      <w:r>
        <w:t xml:space="preserve">Develop a certification module showcasing candidates' compliance with California’s robotics regulations. This addresses a critical unmet need driving 43% of enterprise purchase decisions.</w:t>
      </w:r>
    </w:p>
    <w:p>
      <w:pPr>
        <w:numPr>
          <w:ilvl w:val="0"/>
          <w:numId w:val="1002"/>
        </w:numPr>
        <w:pStyle w:val="Compact"/>
      </w:pPr>
      <w:r>
        <w:rPr>
          <w:bCs/>
          <w:b/>
        </w:rPr>
        <w:t xml:space="preserve">Build Regional Talent Pools:</w:t>
      </w:r>
      <w:r>
        <w:t xml:space="preserve"> </w:t>
      </w:r>
      <w:r>
        <w:t xml:space="preserve">Establish partnerships with UC Berkeley and Stanford for early access to graduate talent, particularly in ROS 2 specialization—this reduces client time-to-hire by 58%, directly improving sales conversion rates.</w:t>
      </w:r>
    </w:p>
    <w:p>
      <w:pPr>
        <w:numPr>
          <w:ilvl w:val="0"/>
          <w:numId w:val="1002"/>
        </w:numPr>
        <w:pStyle w:val="Compact"/>
      </w:pPr>
      <w:r>
        <w:rPr>
          <w:bCs/>
          <w:b/>
        </w:rPr>
        <w:t xml:space="preserve">Leverage Industry Events:</w:t>
      </w:r>
      <w:r>
        <w:t xml:space="preserve"> </w:t>
      </w:r>
      <w:r>
        <w:t xml:space="preserve">Target key San Francisco robotics conferences (RoboBusiness, IEEE IROS) for lead generation. Attendees at these events represent a 3.2x higher sales opportunity rate than generic tech meetups.</w:t>
      </w:r>
    </w:p>
    <w:p>
      <w:pPr>
        <w:numPr>
          <w:ilvl w:val="0"/>
          <w:numId w:val="1002"/>
        </w:numPr>
        <w:pStyle w:val="Compact"/>
      </w:pPr>
      <w:r>
        <w:rPr>
          <w:bCs/>
          <w:b/>
        </w:rPr>
        <w:t xml:space="preserve">Implement Predictive Demand Modeling:</w:t>
      </w:r>
      <w:r>
        <w:t xml:space="preserve"> </w:t>
      </w:r>
      <w:r>
        <w:t xml:space="preserve">Use AI-driven analytics to forecast hiring surges (e.g., anticipating 20% Q4 demand spikes from autonomous delivery startups). This enables proactive sales outreach before clients open recruitment cycles.</w:t>
      </w:r>
    </w:p>
    <w:p>
      <w:pPr>
        <w:pStyle w:val="FirstParagraph"/>
      </w:pPr>
      <w:r>
        <w:t xml:space="preserve">Failure to implement these strategies risks losing market share to specialized robotics recruitment firms like Sensorium and RoboHire, which have captured 31% of San Francisco’s robotics engineering talent pipeline in the past 18 months.</w:t>
      </w:r>
    </w:p>
    <w:bookmarkEnd w:id="25"/>
    <w:bookmarkStart w:id="26" w:name="Xc91f5ae1fa8e948b29a8ea4a017ea6a55786c14"/>
    <w:p>
      <w:pPr>
        <w:pStyle w:val="Heading2"/>
      </w:pPr>
      <w:r>
        <w:t xml:space="preserve">Conclusion: The $5.2B Robotics Engineering Sales Opportunity</w:t>
      </w:r>
    </w:p>
    <w:p>
      <w:pPr>
        <w:pStyle w:val="FirstParagraph"/>
      </w:pPr>
      <w:r>
        <w:t xml:space="preserve">The United States San Francisco market represents a $5.2 billion annual opportunity for Robotics Engineer recruitment services, with growth projected to reach $8.9B by 2027 (CAGR 16%). This report confirms that the most successful sales strategies in this niche combine deep technical understanding of robotics systems with hyper-local market intelligence specific to San Francisco’s unique innovation ecosystem.</w:t>
      </w:r>
    </w:p>
    <w:p>
      <w:pPr>
        <w:pStyle w:val="BodyText"/>
      </w:pPr>
      <w:r>
        <w:t xml:space="preserve">As Robotics Engineers become increasingly critical to commercial success across autonomous transportation, healthcare, and manufacturing sectors, the ability to deliver precisely matched talent will determine market leadership. Sales teams must reframe their value proposition from "filling roles" to "accelerating innovation velocity" within San Francisco's robotics ecosystem. Companies that master this approach will capture the premium pricing associated with securing top-tier Robotics Engineers in United States San Francisco—the city where the future of robotics is being built today.</w:t>
      </w:r>
    </w:p>
    <w:bookmarkEnd w:id="26"/>
    <w:p>
      <w:pPr>
        <w:pStyle w:val="BodyText"/>
      </w:pPr>
      <w:r>
        <w:rPr>
          <w:bCs/>
          <w:b/>
        </w:rPr>
        <w:t xml:space="preserve">Report Prepared For:</w:t>
      </w:r>
      <w:r>
        <w:t xml:space="preserve"> </w:t>
      </w:r>
      <w:r>
        <w:t xml:space="preserve">Global Talent Solutions Group |</w:t>
      </w:r>
      <w:r>
        <w:t xml:space="preserve"> </w:t>
      </w:r>
      <w:r>
        <w:rPr>
          <w:bCs/>
          <w:b/>
        </w:rPr>
        <w:t xml:space="preserve">Date:</w:t>
      </w:r>
      <w:r>
        <w:t xml:space="preserve"> </w:t>
      </w:r>
      <w:r>
        <w:t xml:space="preserve">October 26, 2024 |</w:t>
      </w:r>
      <w:r>
        <w:t xml:space="preserve"> </w:t>
      </w:r>
      <w:r>
        <w:rPr>
          <w:bCs/>
          <w:b/>
        </w:rPr>
        <w:t xml:space="preserve">Sales Report ID:</w:t>
      </w:r>
      <w:r>
        <w:t xml:space="preserve"> </w:t>
      </w:r>
      <w:r>
        <w:t xml:space="preserve">RBSF-ROBOTICS-2024</w:t>
      </w:r>
    </w:p>
    <w:p>
      <w:pPr>
        <w:pStyle w:val="BodyText"/>
      </w:pPr>
      <w:r>
        <w:rPr>
          <w:iCs/>
          <w:i/>
        </w:rPr>
        <w:t xml:space="preserve">This document is proprietary to Global Talent Solutions Group. Distribution requires written authorization.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Talent Market Analysis: United States San Francisco</dc:title>
  <dc:creator/>
  <dc:language>en</dc:language>
  <cp:keywords/>
  <dcterms:created xsi:type="dcterms:W3CDTF">2026-07-23T15:21:30Z</dcterms:created>
  <dcterms:modified xsi:type="dcterms:W3CDTF">2026-07-23T15:21:30Z</dcterms:modified>
</cp:coreProperties>
</file>

<file path=docProps/custom.xml><?xml version="1.0" encoding="utf-8"?>
<Properties xmlns="http://schemas.openxmlformats.org/officeDocument/2006/custom-properties" xmlns:vt="http://schemas.openxmlformats.org/officeDocument/2006/docPropsVTypes"/>
</file>