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40c19669a384689c5604cafe60df9f2391c912a"/>
    <w:p>
      <w:pPr>
        <w:pStyle w:val="Heading1"/>
      </w:pPr>
      <w:r>
        <w:t xml:space="preserve">CHILE SANTIAGO SALES EXECUTIVE PERFORMANCE REPORT</w:t>
      </w:r>
      <w:r>
        <w:br/>
      </w:r>
      <w:r>
        <w:t xml:space="preserve">(Q3 2023 - Q1 2024)</w:t>
      </w:r>
    </w:p>
    <w:p>
      <w:pPr>
        <w:pStyle w:val="FirstParagraph"/>
      </w:pPr>
      <w:r>
        <w:t xml:space="preserve">This comprehensive Sales Report details the performance of our Sales Executive team operating across Chile Santiago, highlighting strategic achievements, market insights, and actionable growth recommendations. As the commercial hub of Chile and one of South America's most dynamic economies, Santiago represents a critical territory requiring nuanced sales strategies that align with local business culture and economic conditions. This report serves as both an accountability tool for our Sales Executive leadership and a roadmap for sustained revenue growth in this vital market.</w:t>
      </w:r>
    </w:p>
    <w:bookmarkStart w:id="20" w:name="Xcd03e2d4b76f957992ae7253141ac449e081216"/>
    <w:p>
      <w:pPr>
        <w:pStyle w:val="Heading2"/>
      </w:pPr>
      <w:r>
        <w:t xml:space="preserve">Executive Summary: Chile Santiago Market Performance</w:t>
      </w:r>
    </w:p>
    <w:p>
      <w:pPr>
        <w:pStyle w:val="FirstParagraph"/>
      </w:pPr>
      <w:r>
        <w:t xml:space="preserve">The Chile Santiago territory delivered exceptional results during the reporting period, with total sales reaching $14.8M against a $13.5M target—a remarkable 9.6% overachievement. This performance significantly outpaced the regional average of 5.2% and positioned Chile Santiago as our top-performing market in Latin America for Q3-Q1 cycle. Our Sales Executive team achieved this through strategic account expansion, agile response to local economic fluctuations, and deepening relationships within Santiago's corporate ecosystem.</w:t>
      </w:r>
    </w:p>
    <w:p>
      <w:pPr>
        <w:pStyle w:val="BodyText"/>
      </w:pPr>
      <w:r>
        <w:rPr>
          <w:bCs/>
          <w:b/>
        </w:rPr>
        <w:t xml:space="preserve">Key Achievement:</w:t>
      </w:r>
      <w:r>
        <w:t xml:space="preserve"> </w:t>
      </w:r>
      <w:r>
        <w:t xml:space="preserve">The Sales Executive successfully onboarded 27 new enterprise clients in Santiago during Q4 2023, including three Fortune 500 Chilean companies previously untapped by our organization. This represents a 41% increase in enterprise acquisition versus prior year and directly contributed to the territory's revenue growth.</w:t>
      </w:r>
    </w:p>
    <w:bookmarkEnd w:id="20"/>
    <w:bookmarkStart w:id="22" w:name="X5aa050adf55230f855a15a8bb1470842904819c"/>
    <w:p>
      <w:pPr>
        <w:pStyle w:val="Heading2"/>
      </w:pPr>
      <w:r>
        <w:t xml:space="preserve">Performance Metrics: Sales Executive Accountability</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TARGET</w:t>
      </w:r>
    </w:p>
    <w:p>
      <w:pPr>
        <w:pStyle w:val="BodyText"/>
      </w:pPr>
      <w:r>
        <w:t xml:space="preserve">ACHIEVEMENT %</w:t>
      </w:r>
    </w:p>
    <w:p>
      <w:pPr>
        <w:pStyle w:val="BodyText"/>
      </w:pPr>
      <w:r>
        <w:t xml:space="preserve">Total Revenue Generated</w:t>
      </w:r>
    </w:p>
    <w:p>
      <w:pPr>
        <w:pStyle w:val="BodyText"/>
      </w:pPr>
      <w:r>
        <w:t xml:space="preserve">$4.5M</w:t>
      </w:r>
    </w:p>
    <w:p>
      <w:pPr>
        <w:pStyle w:val="BodyText"/>
      </w:pPr>
      <w:r>
        <w:t xml:space="preserve">$5.1M</w:t>
      </w:r>
    </w:p>
    <w:p>
      <w:pPr>
        <w:pStyle w:val="BodyText"/>
      </w:pPr>
      <w:r>
        <w:t xml:space="preserve">$5.2M</w:t>
      </w:r>
    </w:p>
    <w:p>
      <w:pPr>
        <w:pStyle w:val="BodyText"/>
      </w:pPr>
      <w:r>
        <w:t xml:space="preserve">$13.5M (Q3-Q1)</w:t>
      </w:r>
    </w:p>
    <w:p>
      <w:pPr>
        <w:pStyle w:val="BodyText"/>
      </w:pPr>
      <w:r>
        <w:t xml:space="preserve">109.6%&lt;/&gt;</w:t>
      </w:r>
    </w:p>
    <w:p>
      <w:pPr>
        <w:pStyle w:val="BodyText"/>
      </w:pPr>
      <w:r>
        <w:t xml:space="preserve">New Client Acquisition Rate</w:t>
      </w:r>
    </w:p>
    <w:p>
      <w:pPr>
        <w:pStyle w:val="BodyText"/>
      </w:pPr>
      <w:r>
        <w:t xml:space="preserve">8%</w:t>
      </w:r>
    </w:p>
    <w:p>
      <w:pPr>
        <w:pStyle w:val="BodyText"/>
      </w:pPr>
      <w:r>
        <w:t xml:space="preserve">12%</w:t>
      </w:r>
    </w:p>
    <w:p>
      <w:pPr>
        <w:pStyle w:val="BodyText"/>
      </w:pPr>
      <w:r>
        <w:t xml:space="preserve">14%</w:t>
      </w:r>
    </w:p>
    <w:p>
      <w:pPr>
        <w:pStyle w:val="BodyText"/>
      </w:pPr>
      <w:r>
        <w:t xml:space="preserve">9%</w:t>
      </w:r>
    </w:p>
    <w:p>
      <w:pPr>
        <w:pStyle w:val="BodyText"/>
      </w:pPr>
      <w:r>
        <w:t xml:space="preserve">156%</w:t>
      </w:r>
    </w:p>
    <w:p>
      <w:pPr>
        <w:pStyle w:val="BodyText"/>
      </w:pPr>
      <w:r>
        <w:t xml:space="preserve">Cross-Sell to Existing Accounts</w:t>
      </w:r>
    </w:p>
    <w:p>
      <w:pPr>
        <w:pStyle w:val="BodyText"/>
      </w:pPr>
      <w:r>
        <w:t xml:space="preserve">23.8%</w:t>
      </w:r>
    </w:p>
    <w:p>
      <w:pPr>
        <w:pStyle w:val="BodyText"/>
      </w:pPr>
      <w:r>
        <w:t xml:space="preserve">26.7%</w:t>
      </w:r>
    </w:p>
    <w:p>
      <w:pPr>
        <w:pStyle w:val="BodyText"/>
      </w:pPr>
      <w:r>
        <w:t xml:space="preserve">30.1%</w:t>
      </w:r>
    </w:p>
    <w:p>
      <w:pPr>
        <w:pStyle w:val="BodyText"/>
      </w:pPr>
      <w:r>
        <w:t xml:space="preserve">24%</w:t>
      </w:r>
    </w:p>
    <w:p>
      <w:pPr>
        <w:pStyle w:val="BodyText"/>
      </w:pPr>
      <w:r>
        <w:t xml:space="preserve">125.4%</w:t>
      </w:r>
    </w:p>
    <w:p>
      <w:pPr>
        <w:pStyle w:val="BodyText"/>
      </w:pPr>
      <w:r>
        <w:t xml:space="preserve">Customer Retention Rate</w:t>
      </w:r>
    </w:p>
    <w:p>
      <w:pPr>
        <w:pStyle w:val="BodyText"/>
      </w:pPr>
      <w:r>
        <w:t xml:space="preserve">88.3%</w:t>
      </w:r>
    </w:p>
    <w:p>
      <w:pPr>
        <w:pStyle w:val="BodyText"/>
      </w:pPr>
      <w:r>
        <w:t xml:space="preserve">90.6%</w:t>
      </w:r>
    </w:p>
    <w:p>
      <w:pPr>
        <w:pStyle w:val="BodyText"/>
      </w:pPr>
      <w:r>
        <w:t xml:space="preserve">92.1%</w:t>
      </w:r>
    </w:p>
    <w:p>
      <w:pPr>
        <w:pStyle w:val="BodyText"/>
      </w:pPr>
      <w:r>
        <w:t xml:space="preserve">87%</w:t>
      </w:r>
    </w:p>
    <w:p>
      <w:pPr>
        <w:pStyle w:val="BodyText"/>
      </w:pPr>
      <w:r>
        <w:t xml:space="preserve">105.9%</w:t>
      </w:r>
    </w:p>
    <w:p>
      <w:pPr>
        <w:pStyle w:val="BodyText"/>
      </w:pPr>
      <w:r>
        <w:t xml:space="preserve">Sales Cycle Efficiency</w:t>
      </w:r>
    </w:p>
    <w:p>
      <w:pPr>
        <w:pStyle w:val="BodyText"/>
      </w:pPr>
      <w:r>
        <w:t xml:space="preserve">68 days</w:t>
      </w:r>
    </w:p>
    <w:p>
      <w:pPr>
        <w:pStyle w:val="BodyText"/>
      </w:pPr>
      <w:r>
        <w:t xml:space="preserve">63 days</w:t>
      </w:r>
    </w:p>
    <w:p>
      <w:pPr>
        <w:pStyle w:val="BodyText"/>
      </w:pPr>
      <w:r>
        <w:t xml:space="preserve">57 days</w:t>
      </w:r>
    </w:p>
    <w:p>
      <w:pPr>
        <w:pStyle w:val="BodyText"/>
      </w:pPr>
      <w:r>
        <w:t xml:space="preserve">60 days</w:t>
      </w:r>
    </w:p>
    <w:p>
      <w:pPr>
        <w:pStyle w:val="BodyText"/>
      </w:pPr>
      <w:r>
        <w:t xml:space="preserve">95%</w:t>
      </w:r>
    </w:p>
    <w:bookmarkStart w:id="21" w:name="X1cc730bbbed5d2632ea8e1e4a7ba158d0221bc1"/>
    <w:p>
      <w:pPr>
        <w:pStyle w:val="Heading3"/>
      </w:pPr>
      <w:r>
        <w:t xml:space="preserve">The Chile Santiago Advantage: Localized Sales Execution</w:t>
      </w:r>
    </w:p>
    <w:p>
      <w:pPr>
        <w:pStyle w:val="FirstParagraph"/>
      </w:pPr>
      <w:r>
        <w:t xml:space="preserve">What sets our Sales Executive apart in Chile Santiago is the team's mastery of local market nuances. While competing against global firms with standardized approaches, our executive leveraged deep cultural understanding to navigate Santiago's business landscape. The report highlights how our Sales Executive implemented:</w:t>
      </w:r>
    </w:p>
    <w:p>
      <w:pPr>
        <w:numPr>
          <w:ilvl w:val="0"/>
          <w:numId w:val="1001"/>
        </w:numPr>
        <w:pStyle w:val="Compact"/>
      </w:pPr>
      <w:r>
        <w:rPr>
          <w:bCs/>
          <w:b/>
        </w:rPr>
        <w:t xml:space="preserve">Relationship-First Strategy:</w:t>
      </w:r>
      <w:r>
        <w:t xml:space="preserve"> </w:t>
      </w:r>
      <w:r>
        <w:t xml:space="preserve">In Chile Santiago's relationship-driven economy, the Sales Executive prioritized face-to-face meetings over digital outreach, resulting in a 37% increase in qualified leads from personalized engagement.</w:t>
      </w:r>
    </w:p>
    <w:p>
      <w:pPr>
        <w:numPr>
          <w:ilvl w:val="0"/>
          <w:numId w:val="1001"/>
        </w:numPr>
        <w:pStyle w:val="Compact"/>
      </w:pPr>
      <w:r>
        <w:rPr>
          <w:bCs/>
          <w:b/>
        </w:rPr>
        <w:t xml:space="preserve">Currency Adaptation:</w:t>
      </w:r>
      <w:r>
        <w:t xml:space="preserve"> </w:t>
      </w:r>
      <w:r>
        <w:t xml:space="preserve">With Chile's volatile economic environment, our Sales Executive developed flexible pricing models that accommodated both USD and CLP transactions—critical for securing contracts during the recent inflationary period.</w:t>
      </w:r>
    </w:p>
    <w:p>
      <w:pPr>
        <w:numPr>
          <w:ilvl w:val="0"/>
          <w:numId w:val="1001"/>
        </w:numPr>
        <w:pStyle w:val="Compact"/>
      </w:pPr>
      <w:r>
        <w:rPr>
          <w:bCs/>
          <w:b/>
        </w:rPr>
        <w:t xml:space="preserve">Local Partnership Integration:</w:t>
      </w:r>
      <w:r>
        <w:t xml:space="preserve"> </w:t>
      </w:r>
      <w:r>
        <w:t xml:space="preserve">Strategic alliances with Santiago-based distributors (like Falabella and Cencosud) expanded market reach by 22% in consumer electronics segment.</w:t>
      </w:r>
    </w:p>
    <w:bookmarkEnd w:id="21"/>
    <w:bookmarkEnd w:id="22"/>
    <w:bookmarkStart w:id="23" w:name="X140637c70346324c93974526b1972b97f52e058"/>
    <w:p>
      <w:pPr>
        <w:pStyle w:val="Heading2"/>
      </w:pPr>
      <w:r>
        <w:t xml:space="preserve">Market Analysis: Chile Santiago Economic Context</w:t>
      </w:r>
    </w:p>
    <w:p>
      <w:pPr>
        <w:pStyle w:val="FirstParagraph"/>
      </w:pPr>
      <w:r>
        <w:t xml:space="preserve">The Chile Santiago market presented unique opportunities amid regional economic challenges. While the broader Latin American market experienced 3.7% contraction, Santiago's commercial sector grew 1.8% due to strong domestic consumption and strategic investments in technology adoption. Our Sales Executive capitalized on this by shifting focus to digital transformation solutions—accounting for 58% of Q4 revenue versus 32% in Q3.</w:t>
      </w:r>
    </w:p>
    <w:p>
      <w:pPr>
        <w:pStyle w:val="BodyText"/>
      </w:pPr>
      <w:r>
        <w:rPr>
          <w:bCs/>
          <w:b/>
        </w:rPr>
        <w:t xml:space="preserve">Competitive Insight:</w:t>
      </w:r>
      <w:r>
        <w:t xml:space="preserve"> </w:t>
      </w:r>
      <w:r>
        <w:t xml:space="preserve">Local competitor "TechSol" lost market share (12.4% to 9.7%) due to rigid pricing structures, whereas our Sales Executive implemented dynamic pricing that maintained margins while undercutting competitors by 8-12% in key segments.</w:t>
      </w:r>
    </w:p>
    <w:bookmarkEnd w:id="23"/>
    <w:bookmarkStart w:id="24" w:name="Xd7822dc36a2eadcf751fb5fcd54d0cd80a18861"/>
    <w:p>
      <w:pPr>
        <w:pStyle w:val="Heading2"/>
      </w:pPr>
      <w:r>
        <w:t xml:space="preserve">Challenges Overcome: Chile Santiago Specifics</w:t>
      </w:r>
    </w:p>
    <w:p>
      <w:pPr>
        <w:pStyle w:val="FirstParagraph"/>
      </w:pPr>
      <w:r>
        <w:t xml:space="preserve">Operating in Chile Santiago presented two critical challenges that required exceptional Sales Executive intervention:</w:t>
      </w:r>
    </w:p>
    <w:p>
      <w:pPr>
        <w:numPr>
          <w:ilvl w:val="0"/>
          <w:numId w:val="1002"/>
        </w:numPr>
        <w:pStyle w:val="Compact"/>
      </w:pPr>
      <w:r>
        <w:rPr>
          <w:bCs/>
          <w:b/>
        </w:rPr>
        <w:t xml:space="preserve">Economic Volatility (Q4 2023):</w:t>
      </w:r>
      <w:r>
        <w:t xml:space="preserve"> </w:t>
      </w:r>
      <w:r>
        <w:t xml:space="preserve">Chile's inflation reached 9.6%, threatening client budget allocations. Our Sales Executive responded by implementing "value-based pricing" demonstrations, securing commitments through cost-avoidance analytics that resonated with Santiago CFOs.</w:t>
      </w:r>
    </w:p>
    <w:p>
      <w:pPr>
        <w:numPr>
          <w:ilvl w:val="0"/>
          <w:numId w:val="1002"/>
        </w:numPr>
        <w:pStyle w:val="Compact"/>
      </w:pPr>
      <w:r>
        <w:rPr>
          <w:bCs/>
          <w:b/>
        </w:rPr>
        <w:t xml:space="preserve">Cultural Nuances in Decision-Making:</w:t>
      </w:r>
      <w:r>
        <w:t xml:space="preserve"> </w:t>
      </w:r>
      <w:r>
        <w:t xml:space="preserve">Santiago business culture prioritizes consensus-building over individual decisions. The Sales Executive trained the team on collaborative proposal formats and organized joint workshops with client procurement teams—reducing decision cycles by 38%.</w:t>
      </w:r>
    </w:p>
    <w:bookmarkEnd w:id="24"/>
    <w:bookmarkStart w:id="25" w:name="Xc5c7eb51a2698651074e36263db0441d6e3c170"/>
    <w:p>
      <w:pPr>
        <w:pStyle w:val="Heading2"/>
      </w:pPr>
      <w:r>
        <w:t xml:space="preserve">Strategic Recommendations for Future Growth</w:t>
      </w:r>
    </w:p>
    <w:p>
      <w:pPr>
        <w:pStyle w:val="FirstParagraph"/>
      </w:pPr>
      <w:r>
        <w:t xml:space="preserve">Based on this Chile Santiago performance, the following action items are recommended to maintain momentum:</w:t>
      </w:r>
    </w:p>
    <w:p>
      <w:pPr>
        <w:numPr>
          <w:ilvl w:val="0"/>
          <w:numId w:val="1003"/>
        </w:numPr>
        <w:pStyle w:val="Compact"/>
      </w:pPr>
      <w:r>
        <w:rPr>
          <w:bCs/>
          <w:b/>
        </w:rPr>
        <w:t xml:space="preserve">Expand in Healthcare Sector:</w:t>
      </w:r>
      <w:r>
        <w:t xml:space="preserve"> </w:t>
      </w:r>
      <w:r>
        <w:t xml:space="preserve">Santiago's healthcare digitalization push (7.3% annual growth) offers $2.4M potential—our Sales Executive should allocate 30% of new pipeline efforts here.</w:t>
      </w:r>
    </w:p>
    <w:p>
      <w:pPr>
        <w:numPr>
          <w:ilvl w:val="0"/>
          <w:numId w:val="1003"/>
        </w:numPr>
        <w:pStyle w:val="Compact"/>
      </w:pPr>
      <w:r>
        <w:rPr>
          <w:bCs/>
          <w:b/>
        </w:rPr>
        <w:t xml:space="preserve">Santiago Startup Accelerator Program:</w:t>
      </w:r>
      <w:r>
        <w:t xml:space="preserve"> </w:t>
      </w:r>
      <w:r>
        <w:t xml:space="preserve">Partner with Chile's leading startup incubators (e.g., Start-Up Chile) to develop tailored solutions, targeting 15 new SME clients by Q3.</w:t>
      </w:r>
    </w:p>
    <w:p>
      <w:pPr>
        <w:numPr>
          <w:ilvl w:val="0"/>
          <w:numId w:val="1003"/>
        </w:numPr>
        <w:pStyle w:val="Compact"/>
      </w:pPr>
      <w:r>
        <w:rPr>
          <w:bCs/>
          <w:b/>
        </w:rPr>
        <w:t xml:space="preserve">Digital Sales Enablement:</w:t>
      </w:r>
      <w:r>
        <w:t xml:space="preserve"> </w:t>
      </w:r>
      <w:r>
        <w:t xml:space="preserve">Implement AI-driven forecasting tools specifically calibrated for Chile Santiago's market patterns—expected to increase forecast accuracy by 25%.</w:t>
      </w:r>
    </w:p>
    <w:bookmarkEnd w:id="25"/>
    <w:bookmarkStart w:id="26" w:name="X38b49bf0441faf34984e60471101f60a876f80c"/>
    <w:p>
      <w:pPr>
        <w:pStyle w:val="Heading2"/>
      </w:pPr>
      <w:r>
        <w:t xml:space="preserve">Conclusion: The Sales Executive as Market Catalyst</w:t>
      </w:r>
    </w:p>
    <w:p>
      <w:pPr>
        <w:pStyle w:val="FirstParagraph"/>
      </w:pPr>
      <w:r>
        <w:t xml:space="preserve">This Chile Santiago Sales Report unequivocally demonstrates how our Sales Executive transformed regional challenges into growth opportunities. By embedding cultural intelligence into every sales interaction and adapting to Santiago's unique economic rhythms, the team delivered exceptional results that set new benchmarks for Latin American operations. The 9.6% revenue overperformance isn't merely a statistic—it represents deeper market penetration, stronger client relationships, and a sustainable model for future expansion.</w:t>
      </w:r>
    </w:p>
    <w:p>
      <w:pPr>
        <w:pStyle w:val="BodyText"/>
      </w:pPr>
      <w:r>
        <w:t xml:space="preserve">As we move into Q2 2024, the Sales Executive will continue prioritizing Santiago's evolving needs through our proven methodology: deep local engagement combined with global operational excellence. This approach ensures that every Sales Report from Chile Santiago reflects not just past performance, but a strategic roadmap for continued leadership in one of Latin America's most competitive markets. The success achieved here provides a replicable blueprint for other territories while reinforcing that our Sales Executive is the indispensable engine driving commercial growth in Chile Santiago.</w:t>
      </w:r>
    </w:p>
    <w:p>
      <w:pPr>
        <w:pStyle w:val="BodyText"/>
      </w:pPr>
      <w:r>
        <w:rPr>
          <w:iCs/>
          <w:i/>
        </w:rPr>
        <w:t xml:space="preserve">Prepared by: Global Sales Analytics Team</w:t>
      </w:r>
      <w:r>
        <w:br/>
      </w:r>
      <w:r>
        <w:rPr>
          <w:iCs/>
          <w:i/>
        </w:rPr>
        <w:t xml:space="preserve">Date: February 28, 2024</w:t>
      </w:r>
      <w:r>
        <w:br/>
      </w:r>
      <w:r>
        <w:rPr>
          <w:iCs/>
          <w:i/>
        </w:rPr>
        <w:t xml:space="preserve">Confidential – Chile Santiago Commercial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Executive Performance Report</dc:title>
  <dc:creator/>
  <dc:language>en</dc:language>
  <cp:keywords/>
  <dcterms:created xsi:type="dcterms:W3CDTF">2026-07-24T05:54:41Z</dcterms:created>
  <dcterms:modified xsi:type="dcterms:W3CDTF">2026-07-24T05:54:41Z</dcterms:modified>
</cp:coreProperties>
</file>

<file path=docProps/custom.xml><?xml version="1.0" encoding="utf-8"?>
<Properties xmlns="http://schemas.openxmlformats.org/officeDocument/2006/custom-properties" xmlns:vt="http://schemas.openxmlformats.org/officeDocument/2006/docPropsVTypes"/>
</file>