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Sales</w:t>
      </w:r>
      <w:r>
        <w:t xml:space="preserve"> </w:t>
      </w:r>
      <w:r>
        <w:t xml:space="preserve">Executive</w:t>
      </w:r>
      <w:r>
        <w:t xml:space="preserve"> </w:t>
      </w:r>
      <w:r>
        <w:t xml:space="preserve">Performance</w:t>
      </w:r>
      <w:r>
        <w:t xml:space="preserve"> </w:t>
      </w:r>
      <w:r>
        <w:t xml:space="preserve">-</w:t>
      </w:r>
      <w:r>
        <w:t xml:space="preserve"> </w:t>
      </w:r>
      <w:r>
        <w:t xml:space="preserve">Egypt</w:t>
      </w:r>
      <w:r>
        <w:t xml:space="preserve"> </w:t>
      </w:r>
      <w:r>
        <w:t xml:space="preserve">Alexandria</w:t>
      </w:r>
    </w:p>
    <w:bookmarkStart w:id="28" w:name="Xa1c827ac442c79390e4182fe8dda9c1145253cd"/>
    <w:p>
      <w:pPr>
        <w:pStyle w:val="Heading1"/>
      </w:pPr>
      <w:r>
        <w:t xml:space="preserve">SALES EXECUTIVE PERFORMANCE REPORT</w:t>
      </w:r>
      <w:r>
        <w:br/>
      </w:r>
      <w:r>
        <w:t xml:space="preserve">EGYPT ALEXANDRIA REGION</w:t>
      </w:r>
    </w:p>
    <w:p>
      <w:pPr>
        <w:pStyle w:val="FirstParagraph"/>
      </w:pPr>
      <w:r>
        <w:t xml:space="preserve">Quarterly Performance Analysis | Period: January 2023 - March 2023 | Prepared for Regional Leadership Team</w:t>
      </w:r>
    </w:p>
    <w:bookmarkStart w:id="20" w:name="i.-executive-summary"/>
    <w:p>
      <w:pPr>
        <w:pStyle w:val="Heading2"/>
      </w:pPr>
      <w:r>
        <w:t xml:space="preserve">I. Executive Summary</w:t>
      </w:r>
    </w:p>
    <w:p>
      <w:pPr>
        <w:pStyle w:val="FirstParagraph"/>
      </w:pPr>
      <w:r>
        <w:t xml:space="preserve">This comprehensive Sales Report details the performance of our Sales Executive team operating across Egypt Alexandria during Q1 2023. The Alexandria region demonstrated remarkable resilience despite regional economic fluctuations, achieving a</w:t>
      </w:r>
      <w:r>
        <w:t xml:space="preserve"> </w:t>
      </w:r>
      <w:r>
        <w:rPr>
          <w:bCs/>
          <w:b/>
        </w:rPr>
        <w:t xml:space="preserve">98% of quarterly sales target</w:t>
      </w:r>
      <w:r>
        <w:t xml:space="preserve"> </w:t>
      </w:r>
      <w:r>
        <w:t xml:space="preserve">through strategic market penetration and client relationship management. Our Sales Executive team successfully navigated key challenges including supply chain constraints and seasonal demand shifts, securing 15 new enterprise contracts in the Alexandria industrial corridor. This report underscores how our localized approach to Egypt Alexandria's unique market dynamics has positioned us for sustained growth in this critical North African commercial hub.</w:t>
      </w:r>
    </w:p>
    <w:bookmarkEnd w:id="20"/>
    <w:bookmarkStart w:id="23" w:name="Xcee389142ee15e2ee916da09c0e0d4f33029fd5"/>
    <w:p>
      <w:pPr>
        <w:pStyle w:val="Heading2"/>
      </w:pPr>
      <w:r>
        <w:t xml:space="preserve">II. Regional Sales Performance Highlights</w:t>
      </w:r>
    </w:p>
    <w:bookmarkStart w:id="21" w:name="X35a4b26ffbf6efd55b131700982783e9b5dfc67"/>
    <w:p>
      <w:pPr>
        <w:pStyle w:val="Heading3"/>
      </w:pPr>
      <w:r>
        <w:t xml:space="preserve">A. Key Metrics Breakdown (Alexandria Region)</w:t>
      </w:r>
    </w:p>
    <w:p>
      <w:pPr>
        <w:pStyle w:val="FirstParagraph"/>
      </w:pPr>
      <w:r>
        <w:t xml:space="preserve">Performance Indicator</w:t>
      </w:r>
    </w:p>
    <w:p>
      <w:pPr>
        <w:pStyle w:val="BodyText"/>
      </w:pPr>
      <w:r>
        <w:t xml:space="preserve">Q1 Target</w:t>
      </w:r>
    </w:p>
    <w:p>
      <w:pPr>
        <w:pStyle w:val="BodyText"/>
      </w:pPr>
      <w:r>
        <w:t xml:space="preserve">Actual Result</w:t>
      </w:r>
    </w:p>
    <w:p>
      <w:pPr>
        <w:pStyle w:val="BodyText"/>
      </w:pPr>
      <w:r>
        <w:t xml:space="preserve">Variance</w:t>
      </w:r>
    </w:p>
    <w:p>
      <w:pPr>
        <w:pStyle w:val="BodyText"/>
      </w:pPr>
      <w:r>
        <w:t xml:space="preserve">Status</w:t>
      </w:r>
    </w:p>
    <w:p>
      <w:pPr>
        <w:pStyle w:val="BodyText"/>
      </w:pPr>
      <w:r>
        <w:t xml:space="preserve">Revenue Generated</w:t>
      </w:r>
    </w:p>
    <w:p>
      <w:pPr>
        <w:pStyle w:val="BodyText"/>
      </w:pPr>
      <w:r>
        <w:t xml:space="preserve">EGP 42,500,000</w:t>
      </w:r>
    </w:p>
    <w:p>
      <w:pPr>
        <w:pStyle w:val="BodyText"/>
      </w:pPr>
      <w:r>
        <w:t xml:space="preserve">EGP 41,650,000</w:t>
      </w:r>
    </w:p>
    <w:p>
      <w:pPr>
        <w:pStyle w:val="BodyText"/>
      </w:pPr>
      <w:r>
        <w:t xml:space="preserve">-2.3%</w:t>
      </w:r>
    </w:p>
    <w:p>
      <w:pPr>
        <w:pStyle w:val="BodyText"/>
      </w:pPr>
      <w:r>
        <w:t xml:space="preserve">Below Target</w:t>
      </w:r>
    </w:p>
    <w:p>
      <w:pPr>
        <w:pStyle w:val="BodyText"/>
      </w:pPr>
      <w:r>
        <w:t xml:space="preserve">New Client Acquisition</w:t>
      </w:r>
    </w:p>
    <w:p>
      <w:pPr>
        <w:pStyle w:val="BodyText"/>
      </w:pPr>
      <w:r>
        <w:t xml:space="preserve">25</w:t>
      </w:r>
    </w:p>
    <w:p>
      <w:pPr>
        <w:pStyle w:val="BodyText"/>
      </w:pPr>
      <w:r>
        <w:t xml:space="preserve">32</w:t>
      </w:r>
    </w:p>
    <w:p>
      <w:pPr>
        <w:pStyle w:val="BodyText"/>
      </w:pPr>
      <w:r>
        <w:t xml:space="preserve">+28%</w:t>
      </w:r>
    </w:p>
    <w:p>
      <w:pPr>
        <w:pStyle w:val="BodyText"/>
      </w:pPr>
      <w:r>
        <w:t xml:space="preserve">Exceeded Target</w:t>
      </w:r>
    </w:p>
    <w:p>
      <w:pPr>
        <w:pStyle w:val="BodyText"/>
      </w:pPr>
      <w:r>
        <w:t xml:space="preserve">Client Retention Rate</w:t>
      </w:r>
    </w:p>
    <w:p>
      <w:pPr>
        <w:pStyle w:val="BodyText"/>
      </w:pPr>
      <w:r>
        <w:t xml:space="preserve">85%</w:t>
      </w:r>
    </w:p>
    <w:p>
      <w:pPr>
        <w:pStyle w:val="BodyText"/>
      </w:pPr>
      <w:r>
        <w:t xml:space="preserve">92%</w:t>
      </w:r>
    </w:p>
    <w:p>
      <w:pPr>
        <w:pStyle w:val="BodyText"/>
      </w:pPr>
      <w:r>
        <w:t xml:space="preserve">+7%</w:t>
      </w:r>
    </w:p>
    <w:p>
      <w:pPr>
        <w:pStyle w:val="BodyText"/>
      </w:pPr>
      <w:r>
        <w:t xml:space="preserve">Exceeded Target</w:t>
      </w:r>
    </w:p>
    <w:p>
      <w:pPr>
        <w:pStyle w:val="BodyText"/>
      </w:pPr>
      <w:r>
        <w:t xml:space="preserve">Market Share Growth</w:t>
      </w:r>
    </w:p>
    <w:p>
      <w:pPr>
        <w:pStyle w:val="BodyText"/>
      </w:pPr>
      <w:r>
        <w:t xml:space="preserve">3.5%</w:t>
      </w:r>
    </w:p>
    <w:p>
      <w:pPr>
        <w:pStyle w:val="BodyText"/>
      </w:pPr>
      <w:r>
        <w:t xml:space="preserve">4.7%</w:t>
      </w:r>
    </w:p>
    <w:p>
      <w:pPr>
        <w:pStyle w:val="BodyText"/>
      </w:pPr>
      <w:r>
        <w:t xml:space="preserve">+1.2%</w:t>
      </w:r>
    </w:p>
    <w:p>
      <w:pPr>
        <w:pStyle w:val="BodyText"/>
      </w:pPr>
      <w:r>
        <w:t xml:space="preserve">Exceeded Target</w:t>
      </w:r>
    </w:p>
    <w:bookmarkEnd w:id="21"/>
    <w:bookmarkStart w:id="22" w:name="b.-alexandria-specific-achievements"/>
    <w:p>
      <w:pPr>
        <w:pStyle w:val="Heading3"/>
      </w:pPr>
      <w:r>
        <w:t xml:space="preserve">B. Alexandria-Specific Achievements</w:t>
      </w:r>
    </w:p>
    <w:p>
      <w:pPr>
        <w:numPr>
          <w:ilvl w:val="0"/>
          <w:numId w:val="1001"/>
        </w:numPr>
        <w:pStyle w:val="Compact"/>
      </w:pPr>
      <w:r>
        <w:rPr>
          <w:bCs/>
          <w:b/>
        </w:rPr>
        <w:t xml:space="preserve">Industrial Zone Expansion:</w:t>
      </w:r>
      <w:r>
        <w:t xml:space="preserve"> </w:t>
      </w:r>
      <w:r>
        <w:t xml:space="preserve">Our Sales Executive successfully secured contracts with 7 manufacturing firms in the Borg El Arab Industrial Zone, representing a 18% revenue increase from this strategic corridor.</w:t>
      </w:r>
    </w:p>
    <w:p>
      <w:pPr>
        <w:numPr>
          <w:ilvl w:val="0"/>
          <w:numId w:val="1001"/>
        </w:numPr>
        <w:pStyle w:val="Compact"/>
      </w:pPr>
      <w:r>
        <w:rPr>
          <w:bCs/>
          <w:b/>
        </w:rPr>
        <w:t xml:space="preserve">Cultural Sensitivity Integration:</w:t>
      </w:r>
      <w:r>
        <w:t xml:space="preserve"> </w:t>
      </w:r>
      <w:r>
        <w:t xml:space="preserve">Tailored sales approaches for Alexandria's distinct business culture (e.g., Ramadan scheduling adjustments, local language support in client communications) directly contributed to 24% higher conversion rates in traditional markets.</w:t>
      </w:r>
    </w:p>
    <w:p>
      <w:pPr>
        <w:numPr>
          <w:ilvl w:val="0"/>
          <w:numId w:val="1001"/>
        </w:numPr>
        <w:pStyle w:val="Compact"/>
      </w:pPr>
      <w:r>
        <w:rPr>
          <w:bCs/>
          <w:b/>
        </w:rPr>
        <w:t xml:space="preserve">Digital Transformation Initiative:</w:t>
      </w:r>
      <w:r>
        <w:t xml:space="preserve"> </w:t>
      </w:r>
      <w:r>
        <w:t xml:space="preserve">Implemented a mobile-first CRM solution optimized for Egypt Alexandria's internet infrastructure, reducing sales cycle time by 19% and enabling our Sales Executive team to cover more clients efficiently.</w:t>
      </w:r>
    </w:p>
    <w:bookmarkEnd w:id="22"/>
    <w:bookmarkEnd w:id="23"/>
    <w:bookmarkStart w:id="24" w:name="X4e1d00622659e931035e37ff9ab6d748c2dc876"/>
    <w:p>
      <w:pPr>
        <w:pStyle w:val="Heading2"/>
      </w:pPr>
      <w:r>
        <w:t xml:space="preserve">III. Market Analysis &amp; Competitive Landscape (Egypt Alexandria)</w:t>
      </w:r>
    </w:p>
    <w:p>
      <w:pPr>
        <w:pStyle w:val="FirstParagraph"/>
      </w:pPr>
      <w:r>
        <w:t xml:space="preserve">The Egypt Alexandria market presents unique dynamics requiring specialized Sales Executive strategies. As the second-largest city in Egypt with a population of over 5 million, Alexandria's economy is heavily driven by:</w:t>
      </w:r>
    </w:p>
    <w:p>
      <w:pPr>
        <w:numPr>
          <w:ilvl w:val="0"/>
          <w:numId w:val="1002"/>
        </w:numPr>
        <w:pStyle w:val="Compact"/>
      </w:pPr>
      <w:r>
        <w:t xml:space="preserve">Port-based trade (Alexandria International Port handles 40% of Egypt's container traffic)</w:t>
      </w:r>
    </w:p>
    <w:p>
      <w:pPr>
        <w:numPr>
          <w:ilvl w:val="0"/>
          <w:numId w:val="1002"/>
        </w:numPr>
        <w:pStyle w:val="Compact"/>
      </w:pPr>
      <w:r>
        <w:t xml:space="preserve">Textile and manufacturing clusters in El-Mahalla El-Kubra</w:t>
      </w:r>
    </w:p>
    <w:p>
      <w:pPr>
        <w:numPr>
          <w:ilvl w:val="0"/>
          <w:numId w:val="1002"/>
        </w:numPr>
        <w:pStyle w:val="Compact"/>
      </w:pPr>
      <w:r>
        <w:t xml:space="preserve">Cultural tourism driving hospitality sector demand</w:t>
      </w:r>
    </w:p>
    <w:p>
      <w:pPr>
        <w:pStyle w:val="FirstParagraph"/>
      </w:pPr>
      <w:r>
        <w:t xml:space="preserve">Competitor analysis reveals that while international firms dominate high-end segments, our Sales Executive team has carved a sustainable niche through:</w:t>
      </w:r>
    </w:p>
    <w:p>
      <w:pPr>
        <w:numPr>
          <w:ilvl w:val="0"/>
          <w:numId w:val="1003"/>
        </w:numPr>
        <w:pStyle w:val="Compact"/>
      </w:pPr>
      <w:r>
        <w:rPr>
          <w:bCs/>
          <w:b/>
        </w:rPr>
        <w:t xml:space="preserve">Localized Pricing Models:</w:t>
      </w:r>
      <w:r>
        <w:t xml:space="preserve"> </w:t>
      </w:r>
      <w:r>
        <w:t xml:space="preserve">Structured payment plans accommodating Egyptian business cycles (e.g., aligning with fiscal year-end for government contracts)</w:t>
      </w:r>
    </w:p>
    <w:p>
      <w:pPr>
        <w:numPr>
          <w:ilvl w:val="0"/>
          <w:numId w:val="1003"/>
        </w:numPr>
        <w:pStyle w:val="Compact"/>
      </w:pPr>
      <w:r>
        <w:rPr>
          <w:bCs/>
          <w:b/>
        </w:rPr>
        <w:t xml:space="preserve">Social Capital Development:</w:t>
      </w:r>
      <w:r>
        <w:t xml:space="preserve"> </w:t>
      </w:r>
      <w:r>
        <w:t xml:space="preserve">Strategic partnerships with Alexandria Chamber of Commerce and local industry associations</w:t>
      </w:r>
    </w:p>
    <w:p>
      <w:pPr>
        <w:numPr>
          <w:ilvl w:val="0"/>
          <w:numId w:val="1003"/>
        </w:numPr>
        <w:pStyle w:val="Compact"/>
      </w:pPr>
      <w:r>
        <w:rPr>
          <w:bCs/>
          <w:b/>
        </w:rPr>
        <w:t xml:space="preserve">Alexandria-Specific Product Customization:</w:t>
      </w:r>
      <w:r>
        <w:t xml:space="preserve"> </w:t>
      </w:r>
      <w:r>
        <w:t xml:space="preserve">Adapting product specifications for Mediterranean climate conditions in manufacturing applications</w:t>
      </w:r>
    </w:p>
    <w:bookmarkEnd w:id="24"/>
    <w:bookmarkStart w:id="25" w:name="X7c12a30de38c4859522476950c5463a1d8fe14a"/>
    <w:p>
      <w:pPr>
        <w:pStyle w:val="Heading2"/>
      </w:pPr>
      <w:r>
        <w:t xml:space="preserve">IV. Challenges &amp; Strategic Response (Sales Executive Perspective)</w:t>
      </w:r>
    </w:p>
    <w:p>
      <w:pPr>
        <w:pStyle w:val="FirstParagraph"/>
      </w:pPr>
      <w:r>
        <w:t xml:space="preserve">Our Sales Executive team encountered three critical challenges in the Egypt Alexandria market:</w:t>
      </w:r>
    </w:p>
    <w:p>
      <w:pPr>
        <w:numPr>
          <w:ilvl w:val="0"/>
          <w:numId w:val="1004"/>
        </w:numPr>
        <w:pStyle w:val="Compact"/>
      </w:pPr>
      <w:r>
        <w:rPr>
          <w:bCs/>
          <w:b/>
        </w:rPr>
        <w:t xml:space="preserve">Supply Chain Disruptions:</w:t>
      </w:r>
      <w:r>
        <w:t xml:space="preserve"> </w:t>
      </w:r>
      <w:r>
        <w:t xml:space="preserve">Port congestion at Alexandria International Port caused 17% longer lead times. *Strategic Response:* Our Sales Executive implemented predictive inventory alerts and secured dual-sourcing agreements with local suppliers in Attar, reducing delivery delays by 34%.</w:t>
      </w:r>
    </w:p>
    <w:p>
      <w:pPr>
        <w:numPr>
          <w:ilvl w:val="0"/>
          <w:numId w:val="1004"/>
        </w:numPr>
        <w:pStyle w:val="Compact"/>
      </w:pPr>
      <w:r>
        <w:rPr>
          <w:bCs/>
          <w:b/>
        </w:rPr>
        <w:t xml:space="preserve">Seasonal Demand Fluctuation:</w:t>
      </w:r>
      <w:r>
        <w:t xml:space="preserve"> </w:t>
      </w:r>
      <w:r>
        <w:t xml:space="preserve">Pre-Ramadan demand surge overwhelmed standard sales processes. *Strategic Response:* The Sales Executive team created a dynamic Q2 planning framework with early-booking incentives for clients, capturing 87% of anticipated seasonal revenue.</w:t>
      </w:r>
    </w:p>
    <w:p>
      <w:pPr>
        <w:numPr>
          <w:ilvl w:val="0"/>
          <w:numId w:val="1004"/>
        </w:numPr>
        <w:pStyle w:val="Compact"/>
      </w:pPr>
      <w:r>
        <w:rPr>
          <w:bCs/>
          <w:b/>
        </w:rPr>
        <w:t xml:space="preserve">Cultural Communication Barriers:</w:t>
      </w:r>
      <w:r>
        <w:t xml:space="preserve"> </w:t>
      </w:r>
      <w:r>
        <w:t xml:space="preserve">Misalignment in negotiation styles between international teams and Egyptian business partners. *Strategic Response:* Launched Alexandria-specific cross-cultural training modules for Sales Executive team, improving client satisfaction scores by 29% in the region.</w:t>
      </w:r>
    </w:p>
    <w:bookmarkEnd w:id="25"/>
    <w:bookmarkStart w:id="26" w:name="v.-strategic-recommendations-for-q2-2023"/>
    <w:p>
      <w:pPr>
        <w:pStyle w:val="Heading2"/>
      </w:pPr>
      <w:r>
        <w:t xml:space="preserve">V. Strategic Recommendations for Q2 2023</w:t>
      </w:r>
    </w:p>
    <w:p>
      <w:pPr>
        <w:pStyle w:val="FirstParagraph"/>
      </w:pPr>
      <w:r>
        <w:t xml:space="preserve">Building on Q1 achievements, we recommend the following actions for our Sales Executive team operating in Egypt Alexandria:</w:t>
      </w:r>
    </w:p>
    <w:p>
      <w:pPr>
        <w:numPr>
          <w:ilvl w:val="0"/>
          <w:numId w:val="1005"/>
        </w:numPr>
        <w:pStyle w:val="Compact"/>
      </w:pPr>
      <w:r>
        <w:rPr>
          <w:bCs/>
          <w:b/>
        </w:rPr>
        <w:t xml:space="preserve">Double Down on Industrial Partnerships:</w:t>
      </w:r>
      <w:r>
        <w:t xml:space="preserve"> </w:t>
      </w:r>
      <w:r>
        <w:t xml:space="preserve">Target additional contracts with Borg El Arab Free Zone companies through dedicated Sales Executive specialization in industrial sector solutions.</w:t>
      </w:r>
    </w:p>
    <w:p>
      <w:pPr>
        <w:numPr>
          <w:ilvl w:val="0"/>
          <w:numId w:val="1005"/>
        </w:numPr>
        <w:pStyle w:val="Compact"/>
      </w:pPr>
      <w:r>
        <w:rPr>
          <w:bCs/>
          <w:b/>
        </w:rPr>
        <w:t xml:space="preserve">Launch Alexandria Loyalty Program:</w:t>
      </w:r>
      <w:r>
        <w:t xml:space="preserve"> </w:t>
      </w:r>
      <w:r>
        <w:t xml:space="preserve">Create a tiered rewards system for key clients that accounts for local business traditions (e.g., special discounts during Eid celebrations).</w:t>
      </w:r>
    </w:p>
    <w:p>
      <w:pPr>
        <w:numPr>
          <w:ilvl w:val="0"/>
          <w:numId w:val="1005"/>
        </w:numPr>
        <w:pStyle w:val="Compact"/>
      </w:pPr>
      <w:r>
        <w:rPr>
          <w:bCs/>
          <w:b/>
        </w:rPr>
        <w:t xml:space="preserve">Invest in Local Talent Pipeline:</w:t>
      </w:r>
      <w:r>
        <w:t xml:space="preserve"> </w:t>
      </w:r>
      <w:r>
        <w:t xml:space="preserve">Partner with Alexandria University's Business School to recruit and train Egyptian sales talent familiar with regional market nuances.</w:t>
      </w:r>
    </w:p>
    <w:p>
      <w:pPr>
        <w:numPr>
          <w:ilvl w:val="0"/>
          <w:numId w:val="1005"/>
        </w:numPr>
        <w:pStyle w:val="Compact"/>
      </w:pPr>
      <w:r>
        <w:rPr>
          <w:bCs/>
          <w:b/>
        </w:rPr>
        <w:t xml:space="preserve">Leverage Digital Transformation:</w:t>
      </w:r>
      <w:r>
        <w:t xml:space="preserve"> </w:t>
      </w:r>
      <w:r>
        <w:t xml:space="preserve">Roll out AI-powered sales forecasting tools trained on Egypt Alexandria-specific historical data to predict demand spikes more accurately.</w:t>
      </w:r>
    </w:p>
    <w:bookmarkEnd w:id="26"/>
    <w:bookmarkStart w:id="27" w:name="vi.-conclusion"/>
    <w:p>
      <w:pPr>
        <w:pStyle w:val="Heading2"/>
      </w:pPr>
      <w:r>
        <w:t xml:space="preserve">VI. Conclusion</w:t>
      </w:r>
    </w:p>
    <w:p>
      <w:pPr>
        <w:pStyle w:val="FirstParagraph"/>
      </w:pPr>
      <w:r>
        <w:t xml:space="preserve">This Sales Report confirms that our Sales Executive team's deep understanding of Egypt Alexandria's commercial ecosystem is driving tangible results. The region has not only met but exceeded critical growth indicators despite external challenges, proving that localized sales strategy remains paramount in North Africa's most dynamic market. The 28% increase in new client acquisitions and 4.7% market share growth demonstrate how our Sales Executive approach—rooted in cultural intelligence and Alexandria-specific operational insights—creates sustainable competitive advantage.</w:t>
      </w:r>
    </w:p>
    <w:p>
      <w:pPr>
        <w:pStyle w:val="BodyText"/>
      </w:pPr>
      <w:r>
        <w:t xml:space="preserve">As we move into Q2, the focus will intensify on converting these new relationships into long-term revenue streams while expanding our footprint in Alexandria's growing industrial zones. Our Sales Executive team has established a proven methodology for succeeding in Egypt Alexandria: where business success is built not just through transactions, but through understanding the city's unique rhythm and transforming that insight into strategic sales advantage. With continued investment in localized talent development and market-specific solutions, we project 12% revenue growth for Alexandria by Q3 2023.</w:t>
      </w:r>
    </w:p>
    <w:p>
      <w:pPr>
        <w:pStyle w:val="BodyText"/>
      </w:pPr>
      <w:r>
        <w:t xml:space="preserve">Prepared by:</w:t>
      </w:r>
      <w:r>
        <w:br/>
      </w:r>
      <w:r>
        <w:t xml:space="preserve">Regional Sales Leadership, Egypt Alexandria</w:t>
      </w:r>
      <w:r>
        <w:br/>
      </w:r>
      <w:r>
        <w:t xml:space="preserve">Date: April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Sales Executive Performance - Egypt Alexandria</dc:title>
  <dc:creator/>
  <dc:language>en</dc:language>
  <cp:keywords/>
  <dcterms:created xsi:type="dcterms:W3CDTF">2026-07-23T19:21:04Z</dcterms:created>
  <dcterms:modified xsi:type="dcterms:W3CDTF">2026-07-23T19:21:04Z</dcterms:modified>
</cp:coreProperties>
</file>

<file path=docProps/custom.xml><?xml version="1.0" encoding="utf-8"?>
<Properties xmlns="http://schemas.openxmlformats.org/officeDocument/2006/custom-properties" xmlns:vt="http://schemas.openxmlformats.org/officeDocument/2006/docPropsVTypes"/>
</file>