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Germany</w:t>
      </w:r>
      <w:r>
        <w:t xml:space="preserve"> </w:t>
      </w:r>
      <w:r>
        <w:t xml:space="preserve">Berlin</w:t>
      </w:r>
      <w:r>
        <w:t xml:space="preserve"> </w:t>
      </w:r>
      <w:r>
        <w:t xml:space="preserve">Market</w:t>
      </w:r>
    </w:p>
    <w:bookmarkStart w:id="27" w:name="X9fe093ad3c4a904eb639e0e42eba112f0d50bc3"/>
    <w:p>
      <w:pPr>
        <w:pStyle w:val="Heading1"/>
      </w:pPr>
      <w:r>
        <w:t xml:space="preserve">Comprehensive Sales Executive Performance Report: Germany Berlin Market (Q3 2023)</w:t>
      </w:r>
    </w:p>
    <w:bookmarkStart w:id="20" w:name="X709f0ef30615829105e9d0360ba6a60c2e80049"/>
    <w:p>
      <w:pPr>
        <w:pStyle w:val="Heading2"/>
      </w:pPr>
      <w:r>
        <w:t xml:space="preserve">Introduction: Strategic Overview of Berlin's Dynamic Commercial Landscape</w:t>
      </w:r>
    </w:p>
    <w:p>
      <w:pPr>
        <w:pStyle w:val="FirstParagraph"/>
      </w:pPr>
      <w:r>
        <w:t xml:space="preserve">This official</w:t>
      </w:r>
      <w:r>
        <w:t xml:space="preserve"> </w:t>
      </w:r>
      <w:r>
        <w:rPr>
          <w:iCs/>
          <w:i/>
        </w:rPr>
        <w:t xml:space="preserve">Sales Report</w:t>
      </w:r>
      <w:r>
        <w:t xml:space="preserve"> </w:t>
      </w:r>
      <w:r>
        <w:t xml:space="preserve">provides an in-depth analysis of the performance metrics, market dynamics, and strategic initiatives executed by our premier Sales Executive within the highly competitive Berlin commercial ecosystem. As Germany's political and cultural hub, Berlin presents unique opportunities requiring exceptional market acumen from every Sales Executive. This document serves as a critical evaluation framework for our regional expansion strategy while adhering to German business standards of precision and transparency. The report specifically evaluates how our dedicated</w:t>
      </w:r>
      <w:r>
        <w:t xml:space="preserve"> </w:t>
      </w:r>
      <w:r>
        <w:rPr>
          <w:iCs/>
          <w:i/>
        </w:rPr>
        <w:t xml:space="preserve">Sales Executive</w:t>
      </w:r>
      <w:r>
        <w:t xml:space="preserve"> </w:t>
      </w:r>
      <w:r>
        <w:t xml:space="preserve">has navigated Berlin's distinctive economic environment—characterized by its vibrant startup culture, robust manufacturing sector, and evolving B2B procurement landscape—to achieve significant revenue growth in Q3 2023.</w:t>
      </w:r>
    </w:p>
    <w:bookmarkEnd w:id="20"/>
    <w:bookmarkStart w:id="21" w:name="X82cc677c09a1d601bc9db566f2f3a75c888d2db"/>
    <w:p>
      <w:pPr>
        <w:pStyle w:val="Heading2"/>
      </w:pPr>
      <w:r>
        <w:t xml:space="preserve">Market Context: Germany Berlin's Commercial Imperatives</w:t>
      </w:r>
    </w:p>
    <w:p>
      <w:pPr>
        <w:pStyle w:val="FirstParagraph"/>
      </w:pPr>
      <w:r>
        <w:t xml:space="preserve">Understanding the nuanced market conditions in</w:t>
      </w:r>
      <w:r>
        <w:t xml:space="preserve"> </w:t>
      </w:r>
      <w:r>
        <w:rPr>
          <w:iCs/>
          <w:i/>
        </w:rPr>
        <w:t xml:space="preserve">Germany Berlin</w:t>
      </w:r>
      <w:r>
        <w:t xml:space="preserve"> </w:t>
      </w:r>
      <w:r>
        <w:t xml:space="preserve">is fundamental to interpreting this</w:t>
      </w:r>
      <w:r>
        <w:t xml:space="preserve"> </w:t>
      </w:r>
      <w:r>
        <w:rPr>
          <w:iCs/>
          <w:i/>
        </w:rPr>
        <w:t xml:space="preserve">Sales Report</w:t>
      </w:r>
      <w:r>
        <w:t xml:space="preserve">. As Europe's most dynamic city for tech innovation and sustainable business solutions, Berlin's commercial climate demands a Sales Executive who masters both German efficiency standards and local cultural intelligence. The city's 15% year-on-year growth in B2B SaaS adoption (Statista, 2023) directly informs our strategic approach. Our Sales Executive has demonstrated exceptional capability in leveraging Berlin's unique market segmentation—particularly within the automotive supply chain (48% of regional revenue), green technology startups (32%), and corporate digital transformation projects (20%). This localized market expertise positions our Sales Executive as a key asset for scaling operations across Germany's most critical urban commercial center.</w:t>
      </w:r>
    </w:p>
    <w:bookmarkEnd w:id="21"/>
    <w:bookmarkStart w:id="22" w:name="X2d4133109971c29bfa40037a1f65742ae9c6c68"/>
    <w:p>
      <w:pPr>
        <w:pStyle w:val="Heading2"/>
      </w:pPr>
      <w:r>
        <w:t xml:space="preserve">Performance Highlights: Quantifiable Excellence in Berlin</w:t>
      </w:r>
    </w:p>
    <w:p>
      <w:pPr>
        <w:pStyle w:val="FirstParagraph"/>
      </w:pPr>
      <w:r>
        <w:t xml:space="preserve">This quarter, our Berlin-based Sales Executive achieved unprecedented results against all KPIs. Most significantly, the executive secured €1.87M in new revenue—exceeding targets by 34%—primarily through strategic partnerships with Berlin's leading industrial clusters. The Sales Executive pioneered a specialized pitch framework for manufacturing clients at Siemens Mobility and BMW Group's digital divisions, resulting in three major enterprise contracts totaling €920K within 60 days. Notable achievements include:</w:t>
      </w:r>
    </w:p>
    <w:p>
      <w:pPr>
        <w:numPr>
          <w:ilvl w:val="0"/>
          <w:numId w:val="1001"/>
        </w:numPr>
        <w:pStyle w:val="Compact"/>
      </w:pPr>
      <w:r>
        <w:rPr>
          <w:bCs/>
          <w:b/>
        </w:rPr>
        <w:t xml:space="preserve">Client Acquisition:</w:t>
      </w:r>
      <w:r>
        <w:t xml:space="preserve"> </w:t>
      </w:r>
      <w:r>
        <w:t xml:space="preserve">14 new enterprise accounts (37% above target), including two Tier-1 Berlin-based automotive suppliers</w:t>
      </w:r>
    </w:p>
    <w:p>
      <w:pPr>
        <w:numPr>
          <w:ilvl w:val="0"/>
          <w:numId w:val="1001"/>
        </w:numPr>
        <w:pStyle w:val="Compact"/>
      </w:pPr>
      <w:r>
        <w:rPr>
          <w:bCs/>
          <w:b/>
        </w:rPr>
        <w:t xml:space="preserve">Market Penetration:</w:t>
      </w:r>
      <w:r>
        <w:t xml:space="preserve"> </w:t>
      </w:r>
      <w:r>
        <w:t xml:space="preserve">Expanded presence in Berlin's startup accelerator network (Berlin Partner for Business and Technology), generating 22 qualified leads</w:t>
      </w:r>
    </w:p>
    <w:p>
      <w:pPr>
        <w:numPr>
          <w:ilvl w:val="0"/>
          <w:numId w:val="1001"/>
        </w:numPr>
        <w:pStyle w:val="Compact"/>
      </w:pPr>
      <w:r>
        <w:rPr>
          <w:bCs/>
          <w:b/>
        </w:rPr>
        <w:t xml:space="preserve">Cross-Sell Success:</w:t>
      </w:r>
      <w:r>
        <w:t xml:space="preserve"> </w:t>
      </w:r>
      <w:r>
        <w:t xml:space="preserve">Increased average deal size by 28% through tailored solutions for German manufacturing clients' sustainability compliance needs</w:t>
      </w:r>
    </w:p>
    <w:p>
      <w:pPr>
        <w:numPr>
          <w:ilvl w:val="0"/>
          <w:numId w:val="1001"/>
        </w:numPr>
        <w:pStyle w:val="Compact"/>
      </w:pPr>
      <w:r>
        <w:rPr>
          <w:bCs/>
          <w:b/>
        </w:rPr>
        <w:t xml:space="preserve">Client Retention:</w:t>
      </w:r>
      <w:r>
        <w:t xml:space="preserve"> </w:t>
      </w:r>
      <w:r>
        <w:t xml:space="preserve">Achieved 97% retention rate among existing Berlin portfolio clients (vs. regional average of 85%)</w:t>
      </w:r>
    </w:p>
    <w:p>
      <w:pPr>
        <w:pStyle w:val="FirstParagraph"/>
      </w:pPr>
      <w:r>
        <w:t xml:space="preserve">The Sales Executive's mastery of German business etiquette—evidenced by their successful navigation of Berlin's formal procurement cycles and adherence to the "Gesprächskultur" (dialogue culture)—directly contributed to these outcomes, establishing credibility with C-suite executives across Berlin.</w:t>
      </w:r>
    </w:p>
    <w:bookmarkEnd w:id="22"/>
    <w:bookmarkStart w:id="23" w:name="X2c4dd949ae515a3b440a9cf2f2009f6f6334f3c"/>
    <w:p>
      <w:pPr>
        <w:pStyle w:val="Heading2"/>
      </w:pPr>
      <w:r>
        <w:t xml:space="preserve">Strategic Initiatives: Localized Market Expansion in Germany Berlin</w:t>
      </w:r>
    </w:p>
    <w:p>
      <w:pPr>
        <w:pStyle w:val="FirstParagraph"/>
      </w:pPr>
      <w:r>
        <w:t xml:space="preserve">Beyond immediate revenue generation, our Sales Executive developed and executed two pivotal initiatives specific to the Berlin market. First, the "Berlin Innovation Circle" program established quarterly executive roundtables with key industry associations (including IHK Berlin and German Engineering Federation), creating a pipeline of 47 high-potential leads. Second, the executive collaborated with local partners like Techpoint to develop Germany's first bilingual (German/English) sales enablement toolkit for Berlin-based technical teams—directly addressing language barriers that previously hindered client engagement. These initiatives reflect the Sales Executive's deep understanding of Berlin's commercial ecosystem and have positioned our brand as a culturally attuned partner rather than a foreign vendor. The program generated €630K in pipeline value within 90 days, demonstrating exceptional market intelligence.</w:t>
      </w:r>
    </w:p>
    <w:bookmarkEnd w:id="23"/>
    <w:bookmarkStart w:id="24" w:name="challenges-strategic-adaptations"/>
    <w:p>
      <w:pPr>
        <w:pStyle w:val="Heading2"/>
      </w:pPr>
      <w:r>
        <w:t xml:space="preserve">Challenges &amp; Strategic Adaptations</w:t>
      </w:r>
    </w:p>
    <w:p>
      <w:pPr>
        <w:pStyle w:val="FirstParagraph"/>
      </w:pPr>
      <w:r>
        <w:t xml:space="preserve">The Sales Executive encountered significant challenges unique to the Berlin market, particularly around compliance with Germany's stringent data privacy regulations (GDPR) and adapting sales cycles to German corporate decision-making protocols. In response, the executive implemented a certified GDPR-compliance framework for all client interactions and developed a multi-stakeholder engagement model that aligns with Berlin's consensus-based procurement processes. This proactive approach turned regulatory complexities into competitive advantages, resulting in 100% compliance across all new contracts and reduced sales cycle time by 22%. The Sales Executive also identified rising energy costs as a critical pain point for Berlin manufacturers, pivoting our solution to emphasize cost-saving features which contributed to 67% of new deals.</w:t>
      </w:r>
    </w:p>
    <w:bookmarkEnd w:id="24"/>
    <w:bookmarkStart w:id="25" w:name="X2c3411e8c274a52bebf11c052a93ac9e2167dac"/>
    <w:p>
      <w:pPr>
        <w:pStyle w:val="Heading2"/>
      </w:pPr>
      <w:r>
        <w:t xml:space="preserve">Conclusion: Driving Sustainable Growth in Germany Berlin</w:t>
      </w:r>
    </w:p>
    <w:p>
      <w:pPr>
        <w:pStyle w:val="FirstParagraph"/>
      </w:pPr>
      <w:r>
        <w:t xml:space="preserve">This comprehensive</w:t>
      </w:r>
      <w:r>
        <w:t xml:space="preserve"> </w:t>
      </w:r>
      <w:r>
        <w:rPr>
          <w:iCs/>
          <w:i/>
        </w:rPr>
        <w:t xml:space="preserve">Sales Report</w:t>
      </w:r>
      <w:r>
        <w:t xml:space="preserve"> </w:t>
      </w:r>
      <w:r>
        <w:t xml:space="preserve">unequivocally demonstrates how our Sales Executive has become the cornerstone of our market leadership strategy in Berlin. By marrying data-driven sales execution with profound cultural fluency within the German business context, this executive has not only achieved exceptional quarterly results but also established a scalable framework for expansion across Germany's urban markets. The report underscores that success in</w:t>
      </w:r>
      <w:r>
        <w:t xml:space="preserve"> </w:t>
      </w:r>
      <w:r>
        <w:rPr>
          <w:iCs/>
          <w:i/>
        </w:rPr>
        <w:t xml:space="preserve">Germany Berlin</w:t>
      </w:r>
      <w:r>
        <w:t xml:space="preserve"> </w:t>
      </w:r>
      <w:r>
        <w:t xml:space="preserve">demands more than transactional selling—it requires a Sales Executive who embodies local market intelligence while delivering global standards. We recommend recognizing the Sales Executive's outstanding performance through promotion to Regional Sales Manager, with specific focus on expanding this proven model across other German metropolitan hubs. The Berlin results provide a replicable blueprint for penetrating Germany's complex commercial landscape, where our next-generation sales strategy must be deeply rooted in local market expertise. As evidenced by these metrics, our Sales Executive has masterfully transformed Berlin from a high-potential market into a revenue engine driving the entire German portfolio forward.</w:t>
      </w:r>
    </w:p>
    <w:bookmarkEnd w:id="25"/>
    <w:bookmarkStart w:id="26" w:name="appendix-key-berlin-market-metrics"/>
    <w:p>
      <w:pPr>
        <w:pStyle w:val="Heading2"/>
      </w:pPr>
      <w:r>
        <w:t xml:space="preserve">Appendix: Key Berlin Market Metrics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New Revenue (€)</w:t>
      </w:r>
    </w:p>
    <w:p>
      <w:pPr>
        <w:pStyle w:val="BodyText"/>
      </w:pPr>
      <w:r>
        <w:t xml:space="preserve">1,400,000</w:t>
      </w:r>
    </w:p>
    <w:p>
      <w:pPr>
        <w:pStyle w:val="BodyText"/>
      </w:pPr>
      <w:r>
        <w:t xml:space="preserve">1,872,539</w:t>
      </w:r>
    </w:p>
    <w:p>
      <w:pPr>
        <w:pStyle w:val="BodyText"/>
      </w:pPr>
      <w:r>
        <w:t xml:space="preserve">+33.75%</w:t>
      </w:r>
    </w:p>
    <w:p>
      <w:pPr>
        <w:pStyle w:val="BodyText"/>
      </w:pPr>
      <w:r>
        <w:t xml:space="preserve">Client Acquisition Rate</w:t>
      </w:r>
    </w:p>
    <w:p>
      <w:pPr>
        <w:pStyle w:val="BodyText"/>
      </w:pPr>
      <w:r>
        <w:t xml:space="preserve">10 accounts</w:t>
      </w:r>
    </w:p>
    <w:p>
      <w:pPr>
        <w:pStyle w:val="BodyText"/>
      </w:pPr>
      <w:r>
        <w:t xml:space="preserve">14 accounts</w:t>
      </w:r>
    </w:p>
    <w:p>
      <w:pPr>
        <w:pStyle w:val="BodyText"/>
      </w:pPr>
      <w:r>
        <w:t xml:space="preserve">&lt;</w:t>
      </w:r>
    </w:p>
    <w:p>
      <w:pPr>
        <w:pStyle w:val="BodyText"/>
      </w:pPr>
      <w:r>
        <w:t xml:space="preserve">+40.0%</w:t>
      </w:r>
    </w:p>
    <w:p>
      <w:pPr>
        <w:pStyle w:val="BodyText"/>
      </w:pPr>
      <w:r>
        <w:t xml:space="preserve">Avg. Deal Size (€)</w:t>
      </w:r>
    </w:p>
    <w:p>
      <w:pPr>
        <w:pStyle w:val="BodyText"/>
      </w:pPr>
      <w:r>
        <w:t xml:space="preserve">212,300</w:t>
      </w:r>
    </w:p>
    <w:p>
      <w:pPr>
        <w:pStyle w:val="BodyText"/>
      </w:pPr>
      <w:r>
        <w:t xml:space="preserve">&lt;</w:t>
      </w:r>
    </w:p>
    <w:p>
      <w:pPr>
        <w:pStyle w:val="BodyText"/>
      </w:pPr>
      <w:r>
        <w:t xml:space="preserve">273,859</w:t>
      </w:r>
    </w:p>
    <w:p>
      <w:pPr>
        <w:pStyle w:val="BodyText"/>
      </w:pPr>
      <w:r>
        <w:t xml:space="preserve">Retention Rate</w:t>
      </w:r>
    </w:p>
    <w:p>
      <w:pPr>
        <w:pStyle w:val="BodyText"/>
      </w:pPr>
      <w:r>
        <w:t xml:space="preserve">85%</w:t>
      </w:r>
    </w:p>
    <w:p>
      <w:pPr>
        <w:pStyle w:val="BodyText"/>
      </w:pPr>
      <w:r>
        <w:t xml:space="preserve">Prepared for: German Regional Leadership Team | Date: October 26, 2023 | Confidential: Sales Executive Performance Report – Germany Berlin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Performance Report: Germany Berlin Market</dc:title>
  <dc:creator/>
  <dc:language>en</dc:language>
  <cp:keywords/>
  <dcterms:created xsi:type="dcterms:W3CDTF">2026-07-23T08:49:01Z</dcterms:created>
  <dcterms:modified xsi:type="dcterms:W3CDTF">2026-07-23T08:49:01Z</dcterms:modified>
</cp:coreProperties>
</file>

<file path=docProps/custom.xml><?xml version="1.0" encoding="utf-8"?>
<Properties xmlns="http://schemas.openxmlformats.org/officeDocument/2006/custom-properties" xmlns:vt="http://schemas.openxmlformats.org/officeDocument/2006/docPropsVTypes"/>
</file>