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6" w:name="Xb4a0a7789ebacc1c120de48bcb053329217272e"/>
    <w:p>
      <w:pPr>
        <w:pStyle w:val="Heading1"/>
      </w:pPr>
      <w:r>
        <w:t xml:space="preserve">Ghana Accra Sales Executive Performance Report</w:t>
      </w:r>
    </w:p>
    <w:p>
      <w:pPr>
        <w:pStyle w:val="FirstParagraph"/>
      </w:pPr>
      <w:r>
        <w:rPr>
          <w:bCs/>
          <w:b/>
        </w:rPr>
        <w:t xml:space="preserve">Prepared For:</w:t>
      </w:r>
      <w:r>
        <w:t xml:space="preserve"> </w:t>
      </w:r>
      <w:r>
        <w:t xml:space="preserve">Regional Sales Director</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dedicated Sales Executive operating within the dynamic Ghana Accra market. The Q3 period witnessed significant growth across key verticals, with our Sales Executive achieving 112% of quarterly revenue targets. This report highlights exceptional market penetration strategies, customer relationship management successes, and actionable insights for sustained dominance in Ghana's competitive commercial landscape. The achievements underscore why the Accra region remains a strategic priority for our pan-African expansion.</w:t>
      </w:r>
    </w:p>
    <w:bookmarkEnd w:id="20"/>
    <w:bookmarkStart w:id="21"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Variance</w:t>
            </w:r>
          </w:p>
        </w:tc>
      </w:tr>
      <w:tr>
        <w:tc>
          <w:tcPr/>
          <w:p>
            <w:pPr>
              <w:pStyle w:val="Compact"/>
              <w:jc w:val="left"/>
            </w:pPr>
            <w:r>
              <w:t xml:space="preserve">Revenue Generated</w:t>
            </w:r>
          </w:p>
        </w:tc>
        <w:tc>
          <w:tcPr/>
          <w:p>
            <w:pPr>
              <w:pStyle w:val="Compact"/>
              <w:jc w:val="left"/>
            </w:pPr>
            <w:r>
              <w:t xml:space="preserve">$345,000</w:t>
            </w:r>
          </w:p>
        </w:tc>
        <w:tc>
          <w:tcPr/>
          <w:p>
            <w:pPr>
              <w:pStyle w:val="Compact"/>
              <w:jc w:val="left"/>
            </w:pPr>
            <w:r>
              <w:t xml:space="preserve">$386,450</w:t>
            </w:r>
          </w:p>
        </w:tc>
        <w:tc>
          <w:tcPr/>
          <w:p>
            <w:pPr>
              <w:pStyle w:val="Compact"/>
              <w:jc w:val="left"/>
            </w:pPr>
            <w:r>
              <w:t xml:space="preserve">+$41,450 (+12.0%)</w:t>
            </w:r>
          </w:p>
        </w:tc>
      </w:tr>
      <w:tr>
        <w:tc>
          <w:tcPr/>
          <w:p>
            <w:pPr>
              <w:pStyle w:val="Compact"/>
              <w:jc w:val="left"/>
            </w:pPr>
            <w:r>
              <w:t xml:space="preserve">New Client Acquisition</w:t>
            </w:r>
          </w:p>
        </w:tc>
        <w:tc>
          <w:tcPr/>
          <w:p>
            <w:pPr>
              <w:pStyle w:val="Compact"/>
              <w:jc w:val="left"/>
            </w:pPr>
            <w:r>
              <w:t xml:space="preserve">8</w:t>
            </w:r>
          </w:p>
        </w:tc>
        <w:tc>
          <w:tcPr/>
          <w:p>
            <w:pPr>
              <w:pStyle w:val="Compact"/>
              <w:jc w:val="left"/>
            </w:pPr>
            <w:r>
              <w:t xml:space="preserve">14</w:t>
            </w:r>
          </w:p>
        </w:tc>
        <w:tc>
          <w:tcPr/>
          <w:p>
            <w:pPr>
              <w:pStyle w:val="Compact"/>
              <w:jc w:val="left"/>
            </w:pPr>
            <w:r>
              <w:t xml:space="preserve">+6 (+75.0%)</w:t>
            </w:r>
          </w:p>
        </w:tc>
      </w:tr>
      <w:tr>
        <w:tc>
          <w:tcPr/>
          <w:p>
            <w:pPr>
              <w:pStyle w:val="Compact"/>
              <w:jc w:val="left"/>
            </w:pPr>
            <w:r>
              <w:t xml:space="preserve">Customer Retention Rate</w:t>
            </w:r>
          </w:p>
        </w:tc>
        <w:tc>
          <w:tcPr/>
          <w:p>
            <w:pPr>
              <w:pStyle w:val="Compact"/>
              <w:jc w:val="left"/>
            </w:pPr>
            <w:r>
              <w:t xml:space="preserve">85%</w:t>
            </w:r>
          </w:p>
        </w:tc>
        <w:tc>
          <w:tcPr/>
          <w:p>
            <w:pPr>
              <w:pStyle w:val="Compact"/>
              <w:jc w:val="left"/>
            </w:pPr>
            <w:r>
              <w:t xml:space="preserve">93%</w:t>
            </w:r>
          </w:p>
        </w:tc>
        <w:tc>
          <w:tcPr/>
          <w:p>
            <w:pPr>
              <w:pStyle w:val="Compact"/>
              <w:jc w:val="left"/>
            </w:pPr>
            <w:r>
              <w:t xml:space="preserve">+8 (+9.4%)</w:t>
            </w:r>
          </w:p>
        </w:tc>
      </w:tr>
      <w:tr>
        <w:tc>
          <w:tcPr/>
          <w:p>
            <w:pPr>
              <w:pStyle w:val="Compact"/>
              <w:jc w:val="left"/>
            </w:pPr>
            <w:r>
              <w:t xml:space="preserve">Pipeline Value Growth</w:t>
            </w:r>
          </w:p>
        </w:tc>
        <w:tc>
          <w:tcPr/>
          <w:p>
            <w:pPr>
              <w:pStyle w:val="Compact"/>
              <w:jc w:val="left"/>
            </w:pPr>
            <w:r>
              <w:t xml:space="preserve">$650,000</w:t>
            </w:r>
          </w:p>
        </w:tc>
        <w:tc>
          <w:tcPr/>
          <w:p>
            <w:pPr>
              <w:pStyle w:val="Compact"/>
              <w:jc w:val="left"/>
            </w:pPr>
            <w:r>
              <w:t xml:space="preserve">$827,345</w:t>
            </w:r>
          </w:p>
        </w:tc>
        <w:tc>
          <w:tcPr/>
          <w:p>
            <w:pPr>
              <w:pStyle w:val="Compact"/>
              <w:jc w:val="left"/>
            </w:pPr>
            <w:r>
              <w:t xml:space="preserve">+$177,345 (+27.3%)</w:t>
            </w:r>
          </w:p>
        </w:tc>
      </w:tr>
    </w:tbl>
    <w:bookmarkEnd w:id="21"/>
    <w:bookmarkStart w:id="22" w:name="X21751ff3d65b40700c51605e86e95cbd3efc2a3"/>
    <w:p>
      <w:pPr>
        <w:pStyle w:val="Heading2"/>
      </w:pPr>
      <w:r>
        <w:t xml:space="preserve">Market Analysis &amp; Strategic Achievements in Ghana Accra</w:t>
      </w:r>
    </w:p>
    <w:p>
      <w:pPr>
        <w:pStyle w:val="FirstParagraph"/>
      </w:pPr>
      <w:r>
        <w:t xml:space="preserve">Our Sales Executive executed an exceptional market penetration strategy across Accra's key commercial districts (Osu, Cantonments, Airport Residential Area), leveraging deep local market knowledge. The executive successfully navigated Ghana Accra's unique business culture by implementing relationship-driven sales tactics that resonate with West African commercial practices. This approach yielded remarkable results in the telecommunications sector (3 new enterprise clients including a major banking institution) and FMCG distribution channels.</w:t>
      </w:r>
    </w:p>
    <w:p>
      <w:pPr>
        <w:pStyle w:val="BodyText"/>
      </w:pPr>
      <w:r>
        <w:t xml:space="preserve">A critical success factor was the Sales Executive's mastery of localized customer engagement. By understanding Ghana Accra's preference for face-to-face business relationships, our executive scheduled weekly market visits to key decision-makers across sectors. This personal touch directly contributed to a 22% increase in cross-selling opportunities within existing accounts – particularly in the premium product segment where Ghanaian customers show rising demand.</w:t>
      </w:r>
    </w:p>
    <w:p>
      <w:pPr>
        <w:pStyle w:val="BodyText"/>
      </w:pPr>
      <w:r>
        <w:t xml:space="preserve">Notably, the Sales Executive identified and capitalized on Accra's growing digital infrastructure needs. By positioning our IoT solutions as critical for smart city initiatives (aligning with Ghana's Digital Acceleration Agenda), we secured three major municipal contracts during Q3 – a first in our company history for the Ghana Accra region. This strategic alignment with national development goals positioned us as a trusted technology partner, not just a vendor.</w:t>
      </w:r>
    </w:p>
    <w:bookmarkEnd w:id="22"/>
    <w:bookmarkStart w:id="23" w:name="overcoming-ghana-accra-market-challenges"/>
    <w:p>
      <w:pPr>
        <w:pStyle w:val="Heading2"/>
      </w:pPr>
      <w:r>
        <w:t xml:space="preserve">Overcoming Ghana Accra Market Challenges</w:t>
      </w:r>
    </w:p>
    <w:p>
      <w:pPr>
        <w:pStyle w:val="FirstParagraph"/>
      </w:pPr>
      <w:r>
        <w:t xml:space="preserve">Operating in Ghana Accra presented unique challenges that our Sales Executive navigated adeptly. The volatile fuel prices affecting logistics were mitigated through strategic partnerships with local transport firms – a solution developed during market research trips across the Greater Accra Region. Additionally, navigating the complex regulatory environment for new business registrations was streamlined by building relationships with key stakeholders at the Ghana Investment Promotion Centre (GIPC) in Accra.</w:t>
      </w:r>
    </w:p>
    <w:p>
      <w:pPr>
        <w:pStyle w:val="BodyText"/>
      </w:pPr>
      <w:r>
        <w:t xml:space="preserve">Perhaps most significantly, our Sales Executive addressed seasonal sales fluctuations common in Ghana's agricultural-driven economy. By anticipating reduced procurement cycles during planting season (July-August), the executive shifted focus to service contracts and maintenance agreements – resulting in 15% higher retention rates during traditionally slow periods. This proactive approach prevented revenue dips that typically affect Q3 performance in Ghana Accra.</w:t>
      </w:r>
    </w:p>
    <w:bookmarkEnd w:id="23"/>
    <w:bookmarkStart w:id="24" w:name="Xf06e8de5deefc3ba7913c11c29e1bd8d548ea27"/>
    <w:p>
      <w:pPr>
        <w:pStyle w:val="Heading2"/>
      </w:pPr>
      <w:r>
        <w:t xml:space="preserve">Strategic Recommendations for Sustained Growth</w:t>
      </w:r>
    </w:p>
    <w:p>
      <w:pPr>
        <w:pStyle w:val="FirstParagraph"/>
      </w:pPr>
      <w:r>
        <w:t xml:space="preserve">Based on this</w:t>
      </w:r>
      <w:r>
        <w:t xml:space="preserve"> </w:t>
      </w:r>
      <w:r>
        <w:rPr>
          <w:iCs/>
          <w:i/>
        </w:rPr>
        <w:t xml:space="preserve">Sales Report</w:t>
      </w:r>
      <w:r>
        <w:t xml:space="preserve">, we recommend three priority actions for the Ghana Accra market:</w:t>
      </w:r>
    </w:p>
    <w:p>
      <w:pPr>
        <w:numPr>
          <w:ilvl w:val="0"/>
          <w:numId w:val="1001"/>
        </w:numPr>
        <w:pStyle w:val="Compact"/>
      </w:pPr>
      <w:r>
        <w:rPr>
          <w:bCs/>
          <w:b/>
        </w:rPr>
        <w:t xml:space="preserve">Accelerate Local Talent Development:</w:t>
      </w:r>
      <w:r>
        <w:t xml:space="preserve"> </w:t>
      </w:r>
      <w:r>
        <w:t xml:space="preserve">Recruit and train two additional junior sales personnel in Accra, with a focus on indigenous language proficiency (Akan, Ga) to deepen market penetration beyond English-speaking business circles.</w:t>
      </w:r>
    </w:p>
    <w:p>
      <w:pPr>
        <w:numPr>
          <w:ilvl w:val="0"/>
          <w:numId w:val="1001"/>
        </w:numPr>
        <w:pStyle w:val="Compact"/>
      </w:pPr>
      <w:r>
        <w:rPr>
          <w:bCs/>
          <w:b/>
        </w:rPr>
        <w:t xml:space="preserve">Leverage Ghana Accra's Trade Shows:</w:t>
      </w:r>
      <w:r>
        <w:t xml:space="preserve"> </w:t>
      </w:r>
      <w:r>
        <w:t xml:space="preserve">Secure exhibition space at the upcoming Ghana International Trade Fair (GITF) in December 2023 – an opportunity our Sales Executive has identified as critical for brand visibility among key industry players.</w:t>
      </w:r>
    </w:p>
    <w:p>
      <w:pPr>
        <w:numPr>
          <w:ilvl w:val="0"/>
          <w:numId w:val="1001"/>
        </w:numPr>
        <w:pStyle w:val="Compact"/>
      </w:pPr>
      <w:r>
        <w:rPr>
          <w:bCs/>
          <w:b/>
        </w:rPr>
        <w:t xml:space="preserve">Expand Partnership Ecosystem:</w:t>
      </w:r>
      <w:r>
        <w:t xml:space="preserve"> </w:t>
      </w:r>
      <w:r>
        <w:t xml:space="preserve">Formalize channel partnerships with Accra-based IT service providers who serve SMEs, creating a revenue-sharing model to access untapped business segments in the city's emerging tech hubs.</w:t>
      </w:r>
    </w:p>
    <w:bookmarkEnd w:id="24"/>
    <w:bookmarkStart w:id="25" w:name="conclusion"/>
    <w:p>
      <w:pPr>
        <w:pStyle w:val="Heading2"/>
      </w:pPr>
      <w:r>
        <w:t xml:space="preserve">Conclusion</w:t>
      </w:r>
    </w:p>
    <w:p>
      <w:pPr>
        <w:pStyle w:val="FirstParagraph"/>
      </w:pPr>
      <w:r>
        <w:t xml:space="preserve">This Q3</w:t>
      </w:r>
      <w:r>
        <w:t xml:space="preserve"> </w:t>
      </w:r>
      <w:r>
        <w:rPr>
          <w:iCs/>
          <w:i/>
        </w:rPr>
        <w:t xml:space="preserve">Sales Report</w:t>
      </w:r>
      <w:r>
        <w:t xml:space="preserve"> </w:t>
      </w:r>
      <w:r>
        <w:t xml:space="preserve">demonstrates how our Sales Executive has become the cornerstone of our Ghana Accra market success. By mastering local business nuances while executing world-class sales methodologies, this executive has not only exceeded targets but also established a replicable framework for sustainable growth across West Africa. The achievements – particularly in securing government contracts and building long-term client relationships – prove that the Ghana Accra market is primed for further expansion.</w:t>
      </w:r>
    </w:p>
    <w:p>
      <w:pPr>
        <w:pStyle w:val="BodyText"/>
      </w:pPr>
      <w:r>
        <w:t xml:space="preserve">As we look toward Q4, our Sales Executive will focus on scaling the successful strategies from Accra to neighboring regions (Kumasi, Tema), while deepening presence in the Ghana capital. The data clearly shows that with continued investment in local talent and market-specific approaches, Ghana Accra can become a high-margin revenue center accounting for 25% of our West African sales within two years. This</w:t>
      </w:r>
      <w:r>
        <w:t xml:space="preserve"> </w:t>
      </w:r>
      <w:r>
        <w:rPr>
          <w:iCs/>
          <w:i/>
        </w:rPr>
        <w:t xml:space="preserve">Sales Executive</w:t>
      </w:r>
      <w:r>
        <w:t xml:space="preserve"> </w:t>
      </w:r>
      <w:r>
        <w:t xml:space="preserve">has laid the foundation for that transformation – turning Ghana Accra from a promising market into our most valuable regional hub.</w:t>
      </w:r>
    </w:p>
    <w:p>
      <w:pPr>
        <w:pStyle w:val="BodyText"/>
      </w:pPr>
      <w:r>
        <w:t xml:space="preserve">"Success in Ghana Accra requires understanding that business is built on relationships, not just transactions. This Sales Executive embodies that principle daily." – Regional Sales Director</w:t>
      </w:r>
    </w:p>
    <w:p>
      <w:pPr>
        <w:pStyle w:val="BodyText"/>
      </w:pPr>
      <w:r>
        <w:rPr>
          <w:bCs/>
          <w:b/>
        </w:rPr>
        <w:t xml:space="preserve">Disclaimer:</w:t>
      </w:r>
      <w:r>
        <w:t xml:space="preserve"> </w:t>
      </w:r>
      <w:r>
        <w:t xml:space="preserve">This report reflects Q3 performance metrics for the Ghana Accra market. All figures are based on internal CRM data as of October 25, 2023. Revenue figures exclude VAT per Ghanaian tax regulations.</w:t>
      </w:r>
    </w:p>
    <w:p>
      <w:pPr>
        <w:pStyle w:val="BodyText"/>
      </w:pPr>
      <w:r>
        <w:rPr>
          <w:iCs/>
          <w:i/>
        </w:rPr>
        <w:t xml:space="preserve">Sales Report</w:t>
      </w:r>
      <w:r>
        <w:t xml:space="preserve"> </w:t>
      </w:r>
      <w:r>
        <w:t xml:space="preserve">generated by: Global Sales Intelligence Platform |</w:t>
      </w:r>
      <w:r>
        <w:t xml:space="preserve"> </w:t>
      </w:r>
      <w:r>
        <w:rPr>
          <w:iCs/>
          <w:i/>
        </w:rPr>
        <w:t xml:space="preserve">Sales Executive</w:t>
      </w:r>
      <w:r>
        <w:t xml:space="preserve"> </w:t>
      </w:r>
      <w:r>
        <w:t xml:space="preserve">Performance Tracking System |</w:t>
      </w:r>
      <w:r>
        <w:t xml:space="preserve"> </w:t>
      </w:r>
      <w:r>
        <w:rPr>
          <w:bCs/>
          <w:b/>
        </w:rPr>
        <w:t xml:space="preserve">Ghana Accra</w:t>
      </w:r>
      <w:r>
        <w:t xml:space="preserve"> </w:t>
      </w:r>
      <w:r>
        <w:t xml:space="preserve">Market Analysis Unit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Sales Executive Performance Report</dc:title>
  <dc:creator/>
  <dc:language>en</dc:language>
  <cp:keywords/>
  <dcterms:created xsi:type="dcterms:W3CDTF">2025-12-11T15:50:31Z</dcterms:created>
  <dcterms:modified xsi:type="dcterms:W3CDTF">2025-12-11T15:50:31Z</dcterms:modified>
</cp:coreProperties>
</file>

<file path=docProps/custom.xml><?xml version="1.0" encoding="utf-8"?>
<Properties xmlns="http://schemas.openxmlformats.org/officeDocument/2006/custom-properties" xmlns:vt="http://schemas.openxmlformats.org/officeDocument/2006/docPropsVTypes"/>
</file>