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Malaysia</w:t>
      </w:r>
      <w:r>
        <w:t xml:space="preserve"> </w:t>
      </w:r>
      <w:r>
        <w:t xml:space="preserve">Kuala</w:t>
      </w:r>
      <w:r>
        <w:t xml:space="preserve"> </w:t>
      </w:r>
      <w:r>
        <w:t xml:space="preserve">Lumpur</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8" w:name="Xabda74f335ff6ba710e20ab3c7403349d3acca1"/>
    <w:p>
      <w:pPr>
        <w:pStyle w:val="Heading1"/>
      </w:pPr>
      <w:r>
        <w:t xml:space="preserve">Comprehensive Sales Executive Performance Report: Malaysia Kuala Lumpur Market (Q3 2023)</w:t>
      </w:r>
    </w:p>
    <w:bookmarkStart w:id="20" w:name="introduction"/>
    <w:p>
      <w:pPr>
        <w:pStyle w:val="Heading2"/>
      </w:pPr>
      <w:r>
        <w:t xml:space="preserve">Introduction</w:t>
      </w:r>
    </w:p>
    <w:p>
      <w:pPr>
        <w:pStyle w:val="FirstParagraph"/>
      </w:pPr>
      <w:r>
        <w:t xml:space="preserve">This official Sales Report details the performance of our dedicated Sales Executive operating within the dynamic business landscape of Malaysia Kuala Lumpur. Covering the period from July 1st to September 30th, 2023, this document provides a strategic overview of key metrics, market insights, and growth initiatives executed by our top-performing Sales Executive in the heart of Southeast Asia's premier commercial hub. As Malaysia continues its economic transformation under the National Transformation Plan (NTP), Kuala Lumpur remains the critical engine for national sales momentum, making this report essential for corporate strategy alignment.</w:t>
      </w:r>
    </w:p>
    <w:bookmarkEnd w:id="20"/>
    <w:bookmarkStart w:id="21" w:name="key-performance-indicators-q3-2023"/>
    <w:p>
      <w:pPr>
        <w:pStyle w:val="Heading2"/>
      </w:pPr>
      <w:r>
        <w:t xml:space="preserve">Key Performance Indicators: Q3 2023</w:t>
      </w:r>
    </w:p>
    <w:p>
      <w:pPr>
        <w:pStyle w:val="FirstParagraph"/>
      </w:pPr>
      <w:r>
        <w:t xml:space="preserve">Our Sales Executive in Malaysia Kuala Lumpur achieved remarkable results against quarterly targets. Total revenue reached RM 4.85 million, surpassing the target of RM 4.2 million by an impressive 15.5%. This represents a consistent upward trajectory from Q2 (RM 4.1 million), demonstrating exceptional market penetration capabilities within the KL business ecosystem.</w:t>
      </w:r>
    </w:p>
    <w:p>
      <w:pPr>
        <w:pStyle w:val="BodyText"/>
      </w:pPr>
      <w:r>
        <w:t xml:space="preserve">Notable metrics include:</w:t>
      </w:r>
    </w:p>
    <w:p>
      <w:pPr>
        <w:numPr>
          <w:ilvl w:val="0"/>
          <w:numId w:val="1001"/>
        </w:numPr>
        <w:pStyle w:val="Compact"/>
      </w:pPr>
      <w:r>
        <w:rPr>
          <w:bCs/>
          <w:b/>
        </w:rPr>
        <w:t xml:space="preserve">Client Acquisition:</w:t>
      </w:r>
      <w:r>
        <w:t xml:space="preserve"> </w:t>
      </w:r>
      <w:r>
        <w:t xml:space="preserve">Onboarded 28 new enterprise clients across key sectors (FMCG, IT, and healthcare), exceeding the target of 20 by 40%</w:t>
      </w:r>
    </w:p>
    <w:p>
      <w:pPr>
        <w:numPr>
          <w:ilvl w:val="0"/>
          <w:numId w:val="1001"/>
        </w:numPr>
        <w:pStyle w:val="Compact"/>
      </w:pPr>
      <w:r>
        <w:rPr>
          <w:bCs/>
          <w:b/>
        </w:rPr>
        <w:t xml:space="preserve">Market Share Growth:</w:t>
      </w:r>
      <w:r>
        <w:t xml:space="preserve"> </w:t>
      </w:r>
      <w:r>
        <w:t xml:space="preserve">Increased regional market share in KL from 18.7% to 23.5% through targeted strategic partnerships</w:t>
      </w:r>
    </w:p>
    <w:p>
      <w:pPr>
        <w:numPr>
          <w:ilvl w:val="0"/>
          <w:numId w:val="1001"/>
        </w:numPr>
        <w:pStyle w:val="Compact"/>
      </w:pPr>
      <w:r>
        <w:rPr>
          <w:bCs/>
          <w:b/>
        </w:rPr>
        <w:t xml:space="preserve">Customer Retention:</w:t>
      </w:r>
      <w:r>
        <w:t xml:space="preserve"> </w:t>
      </w:r>
      <w:r>
        <w:t xml:space="preserve">Achieved a stellar 94.2% client retention rate (industry average: 82%), directly attributable to the Sales Executive's relationship management expertise</w:t>
      </w:r>
    </w:p>
    <w:p>
      <w:pPr>
        <w:numPr>
          <w:ilvl w:val="0"/>
          <w:numId w:val="1001"/>
        </w:numPr>
        <w:pStyle w:val="Compact"/>
      </w:pPr>
      <w:r>
        <w:rPr>
          <w:bCs/>
          <w:b/>
        </w:rPr>
        <w:t xml:space="preserve">Deal Velocity:</w:t>
      </w:r>
      <w:r>
        <w:t xml:space="preserve"> </w:t>
      </w:r>
      <w:r>
        <w:t xml:space="preserve">Reduced sales cycle duration by 22% through tailored proposals for Kuala Lumpur-based decision-makers</w:t>
      </w:r>
    </w:p>
    <w:bookmarkEnd w:id="21"/>
    <w:bookmarkStart w:id="22" w:name="Xfc6a9c720200cca89ed4d8e8267397b8a6b4ee7"/>
    <w:p>
      <w:pPr>
        <w:pStyle w:val="Heading2"/>
      </w:pPr>
      <w:r>
        <w:t xml:space="preserve">Strategic Market Analysis: Kuala Lumpur Dynamics</w:t>
      </w:r>
    </w:p>
    <w:p>
      <w:pPr>
        <w:pStyle w:val="FirstParagraph"/>
      </w:pPr>
      <w:r>
        <w:t xml:space="preserve">The Sales Executive demonstrated exceptional market acumen in navigating Malaysia Kuala Lumpur's unique business environment. As the nation's economic capital, KL presents both opportunities and complexities – from dense urban infrastructure to multicultural client bases spanning Malay, Chinese, Indian, and expatriate communities. The Sales Executive leveraged this understanding through:</w:t>
      </w:r>
    </w:p>
    <w:p>
      <w:pPr>
        <w:numPr>
          <w:ilvl w:val="0"/>
          <w:numId w:val="1002"/>
        </w:numPr>
        <w:pStyle w:val="Compact"/>
      </w:pPr>
      <w:r>
        <w:rPr>
          <w:bCs/>
          <w:b/>
        </w:rPr>
        <w:t xml:space="preserve">Localized Engagement:</w:t>
      </w:r>
      <w:r>
        <w:t xml:space="preserve"> </w:t>
      </w:r>
      <w:r>
        <w:t xml:space="preserve">Implemented culturally nuanced communication strategies during client meetings at venues like Bangsar Shopping Centre and Petaling Jaya business hubs</w:t>
      </w:r>
    </w:p>
    <w:p>
      <w:pPr>
        <w:numPr>
          <w:ilvl w:val="0"/>
          <w:numId w:val="1002"/>
        </w:numPr>
        <w:pStyle w:val="Compact"/>
      </w:pPr>
      <w:r>
        <w:rPr>
          <w:bCs/>
          <w:b/>
        </w:rPr>
        <w:t xml:space="preserve">Regulatory Navigation:</w:t>
      </w:r>
      <w:r>
        <w:t xml:space="preserve"> </w:t>
      </w:r>
      <w:r>
        <w:t xml:space="preserve">Mastered Malaysia's new Personal Data Protection Act (PDPA) compliance requirements, building trust with KL-based clients</w:t>
      </w:r>
    </w:p>
    <w:p>
      <w:pPr>
        <w:numPr>
          <w:ilvl w:val="0"/>
          <w:numId w:val="1002"/>
        </w:numPr>
        <w:pStyle w:val="Compact"/>
      </w:pPr>
      <w:r>
        <w:rPr>
          <w:bCs/>
          <w:b/>
        </w:rPr>
        <w:t xml:space="preserve">Trend Integration:</w:t>
      </w:r>
      <w:r>
        <w:t xml:space="preserve"> </w:t>
      </w:r>
      <w:r>
        <w:t xml:space="preserve">Capitalized on KL's digital transformation wave by positioning our cloud solutions as essential for SMEs in the Petaling Jaya tech corridor</w:t>
      </w:r>
    </w:p>
    <w:bookmarkEnd w:id="22"/>
    <w:bookmarkStart w:id="23" w:name="overcoming-market-specific-challenges"/>
    <w:p>
      <w:pPr>
        <w:pStyle w:val="Heading2"/>
      </w:pPr>
      <w:r>
        <w:t xml:space="preserve">Overcoming Market-Specific Challenges</w:t>
      </w:r>
    </w:p>
    <w:p>
      <w:pPr>
        <w:pStyle w:val="FirstParagraph"/>
      </w:pPr>
      <w:r>
        <w:t xml:space="preserve">The Sales Executive proactively addressed key Kuala Lumpur market challenges that impacted regional performance:</w:t>
      </w:r>
    </w:p>
    <w:p>
      <w:pPr>
        <w:numPr>
          <w:ilvl w:val="0"/>
          <w:numId w:val="1003"/>
        </w:numPr>
        <w:pStyle w:val="Compact"/>
      </w:pPr>
      <w:r>
        <w:rPr>
          <w:bCs/>
          <w:b/>
        </w:rPr>
        <w:t xml:space="preserve">Competitive Landscape:</w:t>
      </w:r>
      <w:r>
        <w:t xml:space="preserve"> </w:t>
      </w:r>
      <w:r>
        <w:t xml:space="preserve">Countered aggressive pricing from local competitors in KL by developing value-based selling propositions. For instance, secured a major deal with a leading KL supermarket chain through an ROI analysis demonstrating 34% operational cost reduction within 18 months.</w:t>
      </w:r>
    </w:p>
    <w:p>
      <w:pPr>
        <w:numPr>
          <w:ilvl w:val="0"/>
          <w:numId w:val="1003"/>
        </w:numPr>
        <w:pStyle w:val="Compact"/>
      </w:pPr>
      <w:r>
        <w:rPr>
          <w:bCs/>
          <w:b/>
        </w:rPr>
        <w:t xml:space="preserve">Currency Volatility:</w:t>
      </w:r>
      <w:r>
        <w:t xml:space="preserve"> </w:t>
      </w:r>
      <w:r>
        <w:t xml:space="preserve">Mitigated foreign exchange risks for multinational clients through flexible payment structures during the volatile USD-MYR period (July-September), preserving RM 1.2 million in potential revenue loss.</w:t>
      </w:r>
    </w:p>
    <w:p>
      <w:pPr>
        <w:numPr>
          <w:ilvl w:val="0"/>
          <w:numId w:val="1003"/>
        </w:numPr>
        <w:pStyle w:val="Compact"/>
      </w:pPr>
      <w:r>
        <w:rPr>
          <w:bCs/>
          <w:b/>
        </w:rPr>
        <w:t xml:space="preserve">Logistical Constraints:</w:t>
      </w:r>
      <w:r>
        <w:t xml:space="preserve"> </w:t>
      </w:r>
      <w:r>
        <w:t xml:space="preserve">Addressed KL's notorious traffic challenges by implementing virtual client briefings using Zoom and Microsoft Teams, maintaining 98% meeting attendance rates during peak hours.</w:t>
      </w:r>
    </w:p>
    <w:bookmarkEnd w:id="23"/>
    <w:bookmarkStart w:id="24" w:name="strategic-initiatives-driving-results"/>
    <w:p>
      <w:pPr>
        <w:pStyle w:val="Heading2"/>
      </w:pPr>
      <w:r>
        <w:t xml:space="preserve">Strategic Initiatives Driving Results</w:t>
      </w:r>
    </w:p>
    <w:p>
      <w:pPr>
        <w:pStyle w:val="FirstParagraph"/>
      </w:pPr>
      <w:r>
        <w:t xml:space="preserve">Beyond basic sales execution, our Sales Executive pioneered innovative market-entry strategies specific to Malaysia Kuala Lumpur:</w:t>
      </w:r>
    </w:p>
    <w:p>
      <w:pPr>
        <w:numPr>
          <w:ilvl w:val="0"/>
          <w:numId w:val="1004"/>
        </w:numPr>
        <w:pStyle w:val="Compact"/>
      </w:pPr>
      <w:r>
        <w:rPr>
          <w:bCs/>
          <w:b/>
        </w:rPr>
        <w:t xml:space="preserve">KL Business Ecosystem Partnerships:</w:t>
      </w:r>
      <w:r>
        <w:t xml:space="preserve"> </w:t>
      </w:r>
      <w:r>
        <w:t xml:space="preserve">Forged strategic alliances with key industry players including MDEC (Malaysia Digital Economy Corporation) and KLCC Property Holdings for co-marketing events, generating 42 qualified leads in Q3.</w:t>
      </w:r>
    </w:p>
    <w:p>
      <w:pPr>
        <w:numPr>
          <w:ilvl w:val="0"/>
          <w:numId w:val="1004"/>
        </w:numPr>
        <w:pStyle w:val="Compact"/>
      </w:pPr>
      <w:r>
        <w:rPr>
          <w:bCs/>
          <w:b/>
        </w:rPr>
        <w:t xml:space="preserve">Digital Transformation Workshops:</w:t>
      </w:r>
      <w:r>
        <w:t xml:space="preserve"> </w:t>
      </w:r>
      <w:r>
        <w:t xml:space="preserve">Hosted "Digital Growth Sessions" at the Kuala Lumpur Convention Centre, attracting 150+ business owners. This positioned our Sales Executive as a thought leader and resulted in 17 immediate sales opportunities.</w:t>
      </w:r>
    </w:p>
    <w:bookmarkEnd w:id="24"/>
    <w:bookmarkStart w:id="25" w:name="X4dc36dd165f2a6a622a6cbf526ee93762c9fa59"/>
    <w:p>
      <w:pPr>
        <w:pStyle w:val="Heading2"/>
      </w:pPr>
      <w:r>
        <w:t xml:space="preserve">Client Success Story: Premier Medical Group (KL)</w:t>
      </w:r>
    </w:p>
    <w:p>
      <w:pPr>
        <w:pStyle w:val="FirstParagraph"/>
      </w:pPr>
      <w:r>
        <w:t xml:space="preserve">A standout achievement involved securing a RM 1.08 million contract with Premier Medical Group, Kuala Lumpur's largest private healthcare provider. The Sales Executive identified their digital infrastructure gap during a strategic networking event at the Bangsar South City hub. By conducting thorough needs analysis and demonstrating localized compliance with Malaysia's Ministry of Health standards, they delivered a customized solution that reduced patient data processing time by 65%. This case study now serves as our flagship KL client reference.</w:t>
      </w:r>
    </w:p>
    <w:bookmarkEnd w:id="25"/>
    <w:bookmarkStart w:id="26" w:name="future-outlook-strategic-roadmap"/>
    <w:p>
      <w:pPr>
        <w:pStyle w:val="Heading2"/>
      </w:pPr>
      <w:r>
        <w:t xml:space="preserve">Future Outlook &amp; Strategic Roadmap</w:t>
      </w:r>
    </w:p>
    <w:p>
      <w:pPr>
        <w:pStyle w:val="FirstParagraph"/>
      </w:pPr>
      <w:r>
        <w:t xml:space="preserve">Building on Q3 success, the Sales Executive has outlined a robust growth plan for Malaysia Kuala Lumpur in Q4 2023:</w:t>
      </w:r>
    </w:p>
    <w:p>
      <w:pPr>
        <w:numPr>
          <w:ilvl w:val="0"/>
          <w:numId w:val="1005"/>
        </w:numPr>
        <w:pStyle w:val="Compact"/>
      </w:pPr>
      <w:r>
        <w:rPr>
          <w:bCs/>
          <w:b/>
        </w:rPr>
        <w:t xml:space="preserve">SME Focus Expansion:</w:t>
      </w:r>
      <w:r>
        <w:t xml:space="preserve"> </w:t>
      </w:r>
      <w:r>
        <w:t xml:space="preserve">Targeting 35 new SME clients across KL's industrial zones (Sri Petaling, Setapak) with tailored financing options</w:t>
      </w:r>
    </w:p>
    <w:p>
      <w:pPr>
        <w:numPr>
          <w:ilvl w:val="0"/>
          <w:numId w:val="1005"/>
        </w:numPr>
        <w:pStyle w:val="Compact"/>
      </w:pPr>
      <w:r>
        <w:rPr>
          <w:bCs/>
          <w:b/>
        </w:rPr>
        <w:t xml:space="preserve">Government Tenders:</w:t>
      </w:r>
      <w:r>
        <w:t xml:space="preserve"> </w:t>
      </w:r>
      <w:r>
        <w:t xml:space="preserve">Preparing for the upcoming Malaysia Digital Economy Blueprint (MDEC) procurement cycle, aiming to capture at least two public sector contracts</w:t>
      </w:r>
    </w:p>
    <w:p>
      <w:pPr>
        <w:numPr>
          <w:ilvl w:val="0"/>
          <w:numId w:val="1005"/>
        </w:numPr>
        <w:pStyle w:val="Compact"/>
      </w:pPr>
      <w:r>
        <w:rPr>
          <w:bCs/>
          <w:b/>
        </w:rPr>
        <w:t xml:space="preserve">Talent Development:</w:t>
      </w:r>
      <w:r>
        <w:t xml:space="preserve"> </w:t>
      </w:r>
      <w:r>
        <w:t xml:space="preserve">Creating a KL-specific sales training program for junior staff based on our executive's field-tested methodologies</w:t>
      </w:r>
    </w:p>
    <w:bookmarkEnd w:id="26"/>
    <w:bookmarkStart w:id="27" w:name="conclusion"/>
    <w:p>
      <w:pPr>
        <w:pStyle w:val="Heading2"/>
      </w:pPr>
      <w:r>
        <w:t xml:space="preserve">Conclusion</w:t>
      </w:r>
    </w:p>
    <w:p>
      <w:pPr>
        <w:pStyle w:val="FirstParagraph"/>
      </w:pPr>
      <w:r>
        <w:t xml:space="preserve">This Sales Report unequivocally demonstrates how our dedicated Sales Executive in Malaysia Kuala Lumpur has become an indispensable strategic asset. By mastering the nuances of the KL business environment – from navigating regulatory frameworks to leveraging cultural intelligence – they've delivered sustainable revenue growth that significantly outperforms regional averages. The 15.5% revenue beat against target is not merely a number; it represents 42 new partnerships, enhanced market positioning, and a blueprint for expansion across Southeast Asia.</w:t>
      </w:r>
    </w:p>
    <w:p>
      <w:pPr>
        <w:pStyle w:val="BodyText"/>
      </w:pPr>
      <w:r>
        <w:t xml:space="preserve">As Malaysia accelerates its digital economy journey under the National AI Strategy and Industry 4.0 initiatives, the Sales Executive's work in Kuala Lumpur positions our company as the partner of choice. Their ability to convert complex market dynamics into concrete sales outcomes exemplifies excellence in regional sales leadership. We commend their exceptional contributions and will ensure continued investment in their strategic initiatives for Malaysia Kuala Lumpur's continued market leadership.</w:t>
      </w:r>
    </w:p>
    <w:p>
      <w:pPr>
        <w:pStyle w:val="BodyText"/>
      </w:pPr>
      <w:r>
        <w:rPr>
          <w:bCs/>
          <w:b/>
        </w:rPr>
        <w:t xml:space="preserve">Prepared For:</w:t>
      </w:r>
      <w:r>
        <w:t xml:space="preserve"> </w:t>
      </w:r>
      <w:r>
        <w:t xml:space="preserve">Executive Leadership Team, Asia-Pacific Regional Office</w:t>
      </w:r>
      <w:r>
        <w:br/>
      </w:r>
      <w:r>
        <w:rPr>
          <w:bCs/>
          <w:b/>
        </w:rPr>
        <w:t xml:space="preserve">Date:</w:t>
      </w:r>
      <w:r>
        <w:t xml:space="preserve"> </w:t>
      </w:r>
      <w:r>
        <w:t xml:space="preserve">October 15, 2023</w:t>
      </w:r>
      <w:r>
        <w:br/>
      </w:r>
      <w:r>
        <w:rPr>
          <w:bCs/>
          <w:b/>
        </w:rPr>
        <w:t xml:space="preserve">Sales Report Reference Number:</w:t>
      </w:r>
      <w:r>
        <w:t xml:space="preserve"> </w:t>
      </w:r>
      <w:r>
        <w:t xml:space="preserve">KL-SR-2023Q3-SE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Malaysia Kuala Lumpur Sales Executive Performance Report</dc:title>
  <dc:creator/>
  <dc:language>en</dc:language>
  <cp:keywords/>
  <dcterms:created xsi:type="dcterms:W3CDTF">2026-07-21T14:52:41Z</dcterms:created>
  <dcterms:modified xsi:type="dcterms:W3CDTF">2026-07-21T14:52:41Z</dcterms:modified>
</cp:coreProperties>
</file>

<file path=docProps/custom.xml><?xml version="1.0" encoding="utf-8"?>
<Properties xmlns="http://schemas.openxmlformats.org/officeDocument/2006/custom-properties" xmlns:vt="http://schemas.openxmlformats.org/officeDocument/2006/docPropsVTypes"/>
</file>