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a79ad429651c99f655ad3cb77f4fe2af7bd13ff"/>
    <w:p>
      <w:pPr>
        <w:pStyle w:val="Heading1"/>
      </w:pPr>
      <w:r>
        <w:t xml:space="preserve">Q3 2023 Sales Performance Report for Netherlands Amsterdam Region</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dynamic commercial landscape of Netherlands Amsterdam. The third quarter (July-September 2023) marked significant growth in our market presence, with a 17.5% year-on-year increase in revenue generation for the Amsterdam territory. As a critical hub for European business operations, this Sales Report underscores how our dedicated Sales Executive strategies have capitalized on unique opportunities within the Netherlands Amsterdam ecosystem. The success of our local team demonstrates exceptional market understanding and strategic execution in one of Europe's most competitive sales environments.</w:t>
      </w:r>
    </w:p>
    <w:p>
      <w:pPr>
        <w:pStyle w:val="BodyText"/>
      </w:pPr>
      <w:r>
        <w:t xml:space="preserve">Our Sales Executive, Maria van der Berg, has led this remarkable performance through deep cultural intelligence and relationship-building that resonates with Dutch business practices. This Sales Report validates that the Netherlands Amsterdam market demands a specialized approach, which our team has successfully implemented throughout Q3.</w:t>
      </w:r>
    </w:p>
    <w:bookmarkEnd w:id="20"/>
    <w:bookmarkStart w:id="21" w:name="key-performance-indicators-kpis"/>
    <w:p>
      <w:pPr>
        <w:pStyle w:val="Heading2"/>
      </w:pPr>
      <w:r>
        <w:t xml:space="preserve">Key Performance Indicators (KPIs)</w:t>
      </w:r>
    </w:p>
    <w:p>
      <w:pPr>
        <w:pStyle w:val="FirstParagraph"/>
      </w:pPr>
      <w:r>
        <w:t xml:space="preserve">The following KPIs reflect the operational excellence achieved by our Sales Executive in Netherlands Amsterdam during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Dutch Market Revenue Growth</w:t>
            </w:r>
          </w:p>
        </w:tc>
        <w:tc>
          <w:tcPr/>
          <w:p>
            <w:pPr>
              <w:pStyle w:val="Compact"/>
              <w:jc w:val="left"/>
            </w:pPr>
            <w:r>
              <w:t xml:space="preserve">15.0%</w:t>
            </w:r>
          </w:p>
        </w:tc>
        <w:tc>
          <w:tcPr/>
          <w:p>
            <w:pPr>
              <w:pStyle w:val="Compact"/>
              <w:jc w:val="left"/>
            </w:pPr>
            <w:r>
              <w:t xml:space="preserve">17.5%</w:t>
            </w:r>
          </w:p>
        </w:tc>
        <w:tc>
          <w:tcPr/>
          <w:p>
            <w:pPr>
              <w:pStyle w:val="Compact"/>
              <w:jc w:val="left"/>
            </w:pPr>
            <w:r>
              <w:t xml:space="preserve">+2.5% (vs target)</w:t>
            </w:r>
          </w:p>
        </w:tc>
      </w:tr>
      <w:tr>
        <w:tc>
          <w:tcPr/>
          <w:p>
            <w:pPr>
              <w:pStyle w:val="Compact"/>
              <w:jc w:val="left"/>
            </w:pPr>
            <w:r>
              <w:t xml:space="preserve">New Client Acquisition Rate</w:t>
            </w:r>
          </w:p>
        </w:tc>
        <w:tc>
          <w:tcPr/>
          <w:p>
            <w:pPr>
              <w:pStyle w:val="Compact"/>
              <w:jc w:val="left"/>
            </w:pPr>
            <w:r>
              <w:t xml:space="preserve">22</w:t>
            </w:r>
          </w:p>
        </w:tc>
        <w:tc>
          <w:tcPr/>
          <w:p>
            <w:pPr>
              <w:pStyle w:val="Compact"/>
              <w:jc w:val="left"/>
            </w:pPr>
            <w:r>
              <w:t xml:space="preserve">28</w:t>
            </w:r>
          </w:p>
        </w:tc>
        <w:tc>
          <w:tcPr/>
          <w:p>
            <w:pPr>
              <w:pStyle w:val="Compact"/>
              <w:jc w:val="left"/>
            </w:pPr>
            <w:r>
              <w:t xml:space="preserve">+6 clients</w:t>
            </w:r>
          </w:p>
        </w:tc>
      </w:tr>
      <w:tr>
        <w:tc>
          <w:tcPr/>
          <w:p>
            <w:pPr>
              <w:pStyle w:val="Compact"/>
              <w:jc w:val="left"/>
            </w:pPr>
            <w:r>
              <w:t xml:space="preserve">Cross-Sell Success Rate (Amsterdam Clients)</w:t>
            </w:r>
          </w:p>
        </w:tc>
        <w:tc>
          <w:tcPr/>
          <w:p>
            <w:pPr>
              <w:pStyle w:val="Compact"/>
              <w:jc w:val="left"/>
            </w:pPr>
            <w:r>
              <w:t xml:space="preserve">35%</w:t>
            </w:r>
          </w:p>
        </w:tc>
        <w:tc>
          <w:tcPr/>
          <w:p>
            <w:pPr>
              <w:pStyle w:val="Compact"/>
              <w:jc w:val="left"/>
            </w:pPr>
            <w:r>
              <w:t xml:space="preserve">41%</w:t>
            </w:r>
          </w:p>
        </w:tc>
        <w:tc>
          <w:tcPr/>
          <w:p>
            <w:pPr>
              <w:pStyle w:val="Compact"/>
              <w:jc w:val="left"/>
            </w:pPr>
            <w:r>
              <w:t xml:space="preserve">+6% (vs target)</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94.3%</w:t>
            </w:r>
          </w:p>
        </w:tc>
        <w:tc>
          <w:tcPr/>
          <w:p>
            <w:pPr>
              <w:pStyle w:val="Compact"/>
              <w:jc w:val="left"/>
            </w:pPr>
            <w:r>
              <w:t xml:space="preserve">+2.3% (vs target)</w:t>
            </w:r>
          </w:p>
        </w:tc>
      </w:tr>
    </w:tbl>
    <w:p>
      <w:pPr>
        <w:pStyle w:val="BodyText"/>
      </w:pPr>
      <w:r>
        <w:t xml:space="preserve">The outstanding performance in Netherlands Amsterdam can be directly attributed to our Sales Executive's localized market intelligence and ability to navigate the Dutch preference for direct, value-driven business communication. This Sales Report confirms that investing in regional expertise delivers measurable commercial outcomes in this specific market.</w:t>
      </w:r>
    </w:p>
    <w:bookmarkEnd w:id="21"/>
    <w:bookmarkStart w:id="22" w:name="X24777205290ed1e5bc5942346459dc02ccd0b61"/>
    <w:p>
      <w:pPr>
        <w:pStyle w:val="Heading2"/>
      </w:pPr>
      <w:r>
        <w:t xml:space="preserve">Market Analysis: Netherlands Amsterdam Commercial Landscape</w:t>
      </w:r>
    </w:p>
    <w:p>
      <w:pPr>
        <w:pStyle w:val="FirstParagraph"/>
      </w:pPr>
      <w:r>
        <w:t xml:space="preserve">The Netherlands Amsterdam market presents unique characteristics requiring specialized sales approaches. As a global business hub with over 3,000 multinational headquarters, Amsterdam's commercial environment demands that every Sales Executive understands local nuances:</w:t>
      </w:r>
    </w:p>
    <w:p>
      <w:pPr>
        <w:numPr>
          <w:ilvl w:val="0"/>
          <w:numId w:val="1001"/>
        </w:numPr>
        <w:pStyle w:val="Compact"/>
      </w:pPr>
      <w:r>
        <w:rPr>
          <w:bCs/>
          <w:b/>
        </w:rPr>
        <w:t xml:space="preserve">Business Culture:</w:t>
      </w:r>
      <w:r>
        <w:t xml:space="preserve"> </w:t>
      </w:r>
      <w:r>
        <w:t xml:space="preserve">Dutch professionals prioritize transparency and efficiency—our Sales Executive excelled by implementing "no-nonsense" pitch frameworks that respect time constraints</w:t>
      </w:r>
    </w:p>
    <w:p>
      <w:pPr>
        <w:numPr>
          <w:ilvl w:val="0"/>
          <w:numId w:val="1001"/>
        </w:numPr>
        <w:pStyle w:val="Compact"/>
      </w:pPr>
      <w:r>
        <w:rPr>
          <w:bCs/>
          <w:b/>
        </w:rPr>
        <w:t xml:space="preserve">Regulatory Environment:</w:t>
      </w:r>
      <w:r>
        <w:t xml:space="preserve"> </w:t>
      </w:r>
      <w:r>
        <w:t xml:space="preserve">Amsterdam's strict GDPR compliance standards required tailored solutions; our Sales Executive developed specialized compliance documentation for all client proposals</w:t>
      </w:r>
    </w:p>
    <w:p>
      <w:pPr>
        <w:numPr>
          <w:ilvl w:val="0"/>
          <w:numId w:val="1001"/>
        </w:numPr>
        <w:pStyle w:val="Compact"/>
      </w:pPr>
      <w:r>
        <w:rPr>
          <w:bCs/>
          <w:b/>
        </w:rPr>
        <w:t xml:space="preserve">Competitive Landscape:</w:t>
      </w:r>
      <w:r>
        <w:t xml:space="preserve"> </w:t>
      </w:r>
      <w:r>
        <w:t xml:space="preserve">With 68% market saturation in SaaS solutions, our Sales Executive differentiated through industry-specific case studies relevant to Amsterdam's top sectors (Logistics, Sustainable Tech, Finance)</w:t>
      </w:r>
    </w:p>
    <w:p>
      <w:pPr>
        <w:pStyle w:val="FirstParagraph"/>
      </w:pPr>
      <w:r>
        <w:t xml:space="preserve">This targeted approach transformed the Netherlands Amsterdam market from a high-competition zone to a growth engine. The Sales Report reveals that 73% of new clients in Q3 came through referrals—proof of our Sales Executive's reputation for delivering exceptional value in this specific market.</w:t>
      </w:r>
    </w:p>
    <w:bookmarkEnd w:id="22"/>
    <w:bookmarkStart w:id="26" w:name="X64850db43e8054dc5d835b4ddd6543ce6856d85"/>
    <w:p>
      <w:pPr>
        <w:pStyle w:val="Heading2"/>
      </w:pPr>
      <w:r>
        <w:t xml:space="preserve">Strategic Execution by Netherlands Amsterdam Sales Executive</w:t>
      </w:r>
    </w:p>
    <w:p>
      <w:pPr>
        <w:pStyle w:val="FirstParagraph"/>
      </w:pPr>
      <w:r>
        <w:t xml:space="preserve">The success documented in this Sales Report stems from three core strategies executed by our Amsterdam-based Sales Executive:</w:t>
      </w:r>
    </w:p>
    <w:bookmarkStart w:id="23" w:name="hyper-local-market-mapping"/>
    <w:p>
      <w:pPr>
        <w:pStyle w:val="Heading3"/>
      </w:pPr>
      <w:r>
        <w:t xml:space="preserve">1. Hyper-Local Market Mapping</w:t>
      </w:r>
    </w:p>
    <w:p>
      <w:pPr>
        <w:pStyle w:val="FirstParagraph"/>
      </w:pPr>
      <w:r>
        <w:t xml:space="preserve">The Sales Executive conducted in-depth analysis of Amsterdam's 50 most promising business clusters, identifying that 62% of target accounts operated within the Port of Amsterdam economic zone. This insight led to strategic partnerships with Port Authority representatives, resulting in 4 new enterprise contracts worth €1.2M.</w:t>
      </w:r>
    </w:p>
    <w:bookmarkEnd w:id="23"/>
    <w:bookmarkStart w:id="24" w:name="digital-first-engagement-protocol"/>
    <w:p>
      <w:pPr>
        <w:pStyle w:val="Heading3"/>
      </w:pPr>
      <w:r>
        <w:t xml:space="preserve">2. Digital-First Engagement Protocol</w:t>
      </w:r>
    </w:p>
    <w:p>
      <w:pPr>
        <w:pStyle w:val="FirstParagraph"/>
      </w:pPr>
      <w:r>
        <w:t xml:space="preserve">Recognizing Dutch preference for digital communication channels (68% of Amsterdam businesses prefer email over phone), our Sales Executive implemented a structured CRM workflow using Dutch-language templates. This reduced response time from 48 to 12 hours, directly contributing to the 41% cross-sell rate.</w:t>
      </w:r>
    </w:p>
    <w:bookmarkEnd w:id="24"/>
    <w:bookmarkStart w:id="25" w:name="cultural-intelligence-integration"/>
    <w:p>
      <w:pPr>
        <w:pStyle w:val="Heading3"/>
      </w:pPr>
      <w:r>
        <w:t xml:space="preserve">3. Cultural Intelligence Integration</w:t>
      </w:r>
    </w:p>
    <w:p>
      <w:pPr>
        <w:pStyle w:val="FirstParagraph"/>
      </w:pPr>
      <w:r>
        <w:t xml:space="preserve">Training focused on Dutch business etiquette—such as avoiding overly aggressive tactics and emphasizing data-driven value propositions—was implemented by our Sales Executive. This cultural adaptation explains why client satisfaction scores in Netherlands Amsterdam reached 96% (vs industry average of 85%).</w:t>
      </w:r>
    </w:p>
    <w:bookmarkEnd w:id="25"/>
    <w:bookmarkEnd w:id="26"/>
    <w:bookmarkStart w:id="27" w:name="challenges-solutions-implemented"/>
    <w:p>
      <w:pPr>
        <w:pStyle w:val="Heading2"/>
      </w:pPr>
      <w:r>
        <w:t xml:space="preserve">Challenges &amp; Solutions Implemented</w:t>
      </w:r>
    </w:p>
    <w:p>
      <w:pPr>
        <w:pStyle w:val="FirstParagraph"/>
      </w:pPr>
      <w:r>
        <w:t xml:space="preserve">The Netherlands Amsterdam market presented unique hurdles that required agile solutions from our Sales Executive: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 by Sales Executive</w:t>
            </w:r>
          </w:p>
        </w:tc>
        <w:tc>
          <w:tcPr/>
          <w:p>
            <w:pPr>
              <w:pStyle w:val="Compact"/>
              <w:jc w:val="left"/>
            </w:pPr>
            <w:r>
              <w:t xml:space="preserve">Result</w:t>
            </w:r>
          </w:p>
        </w:tc>
      </w:tr>
      <w:tr>
        <w:tc>
          <w:tcPr/>
          <w:p>
            <w:pPr>
              <w:pStyle w:val="Compact"/>
              <w:jc w:val="left"/>
            </w:pPr>
            <w:r>
              <w:t xml:space="preserve">Competitor undercutting on pricing in Amsterdam logistics sector</w:t>
            </w:r>
          </w:p>
        </w:tc>
        <w:tc>
          <w:tcPr/>
          <w:p>
            <w:pPr>
              <w:pStyle w:val="Compact"/>
              <w:jc w:val="left"/>
            </w:pPr>
            <w:r>
              <w:t xml:space="preserve">Negotiated value-based contracts emphasizing total cost of ownership</w:t>
            </w:r>
          </w:p>
        </w:tc>
        <w:tc>
          <w:tcPr/>
          <w:p>
            <w:pPr>
              <w:pStyle w:val="Compact"/>
              <w:jc w:val="left"/>
            </w:pPr>
            <w:r>
              <w:t xml:space="preserve">23% higher average deal value than competitors</w:t>
            </w:r>
          </w:p>
        </w:tc>
      </w:tr>
      <w:tr>
        <w:tc>
          <w:tcPr/>
          <w:p>
            <w:pPr>
              <w:pStyle w:val="Compact"/>
              <w:jc w:val="left"/>
            </w:pPr>
            <w:r>
              <w:t xml:space="preserve">Post-pandemic client budget constraints in Q3</w:t>
            </w:r>
          </w:p>
        </w:tc>
        <w:tc>
          <w:tcPr/>
          <w:p>
            <w:pPr>
              <w:pStyle w:val="Compact"/>
              <w:jc w:val="left"/>
            </w:pPr>
            <w:r>
              <w:t xml:space="preserve">Designed phased implementation packages for Amsterdam SMEs</w:t>
            </w:r>
          </w:p>
        </w:tc>
        <w:tc>
          <w:tcPr/>
          <w:p>
            <w:pPr>
              <w:pStyle w:val="Compact"/>
              <w:jc w:val="left"/>
            </w:pPr>
            <w:r>
              <w:t xml:space="preserve">15% increase in pilot programs (vs Q2)</w:t>
            </w:r>
          </w:p>
        </w:tc>
      </w:tr>
      <w:tr>
        <w:tc>
          <w:tcPr/>
          <w:p>
            <w:pPr>
              <w:pStyle w:val="Compact"/>
              <w:jc w:val="left"/>
            </w:pPr>
            <w:r>
              <w:t xml:space="preserve">Dutch regulatory complexity in data solutions</w:t>
            </w:r>
          </w:p>
        </w:tc>
        <w:tc>
          <w:tcPr/>
          <w:p>
            <w:pPr>
              <w:pStyle w:val="Compact"/>
              <w:jc w:val="left"/>
            </w:pPr>
            <w:r>
              <w:t xml:space="preserve">Partnered with local legal firm for GDPR-compliant documentation</w:t>
            </w:r>
          </w:p>
        </w:tc>
        <w:tc>
          <w:tcPr/>
          <w:p>
            <w:pPr>
              <w:pStyle w:val="Compact"/>
              <w:jc w:val="left"/>
            </w:pPr>
            <w:r>
              <w:t xml:space="preserve">Zero compliance-related deal delays in Q3 Amsterdam market</w:t>
            </w:r>
          </w:p>
        </w:tc>
      </w:tr>
    </w:tbl>
    <w:p>
      <w:pPr>
        <w:pStyle w:val="BodyText"/>
      </w:pPr>
      <w:r>
        <w:t xml:space="preserve">This proactive challenge resolution exemplifies why our Sales Executive has become the benchmark for Netherlands Amsterdam operations. The solutions implemented directly addressed regional market pain points that generic sales approaches would have overlooked.</w:t>
      </w:r>
    </w:p>
    <w:bookmarkEnd w:id="27"/>
    <w:bookmarkStart w:id="28" w:name="future-outlook-strategic-recommendations"/>
    <w:p>
      <w:pPr>
        <w:pStyle w:val="Heading2"/>
      </w:pPr>
      <w:r>
        <w:t xml:space="preserve">Future Outlook &amp; Strategic Recommendations</w:t>
      </w:r>
    </w:p>
    <w:p>
      <w:pPr>
        <w:pStyle w:val="FirstParagraph"/>
      </w:pPr>
      <w:r>
        <w:t xml:space="preserve">Based on this Q3 Sales Report, we recommend the following strategic initiatives for our Sales Executive team in Netherlands Amsterdam:</w:t>
      </w:r>
    </w:p>
    <w:p>
      <w:pPr>
        <w:numPr>
          <w:ilvl w:val="0"/>
          <w:numId w:val="1002"/>
        </w:numPr>
        <w:pStyle w:val="Compact"/>
      </w:pPr>
      <w:r>
        <w:rPr>
          <w:bCs/>
          <w:b/>
        </w:rPr>
        <w:t xml:space="preserve">Expand Sustainability Focus:</w:t>
      </w:r>
      <w:r>
        <w:t xml:space="preserve"> </w:t>
      </w:r>
      <w:r>
        <w:t xml:space="preserve">Amsterdam's Green Economy Initiative presents €450M+ market opportunity. Our Sales Executive should develop specialized sustainability solution packages targeting Port of Amsterdam clients.</w:t>
      </w:r>
    </w:p>
    <w:p>
      <w:pPr>
        <w:numPr>
          <w:ilvl w:val="0"/>
          <w:numId w:val="1002"/>
        </w:numPr>
        <w:pStyle w:val="Compact"/>
      </w:pPr>
      <w:r>
        <w:rPr>
          <w:bCs/>
          <w:b/>
        </w:rPr>
        <w:t xml:space="preserve">Amsterdam Tech Ecosystem Partnership:</w:t>
      </w:r>
      <w:r>
        <w:t xml:space="preserve"> </w:t>
      </w:r>
      <w:r>
        <w:t xml:space="preserve">Forge relationships with key players like StartupDelta to access 3,200+ tech startups in Netherlands Amsterdam—potential for 45% new client pipeline growth.</w:t>
      </w:r>
    </w:p>
    <w:p>
      <w:pPr>
        <w:numPr>
          <w:ilvl w:val="0"/>
          <w:numId w:val="1002"/>
        </w:numPr>
        <w:pStyle w:val="Compact"/>
      </w:pPr>
      <w:r>
        <w:rPr>
          <w:bCs/>
          <w:b/>
        </w:rPr>
        <w:t xml:space="preserve">Cultural Training Enhancement:</w:t>
      </w:r>
      <w:r>
        <w:t xml:space="preserve"> </w:t>
      </w:r>
      <w:r>
        <w:t xml:space="preserve">Implement advanced Dutch business etiquette workshops for all Sales Executive members covering regional nuances across Amsterdam's diverse districts (Zuidas, Oostelijk Havengebied, De Pijp).</w:t>
      </w:r>
    </w:p>
    <w:p>
      <w:pPr>
        <w:pStyle w:val="FirstParagraph"/>
      </w:pPr>
      <w:r>
        <w:t xml:space="preserve">This Sales Report confirms that the Netherlands Amsterdam market requires a dedicated sales approach where the Sales Executive functions as both market analyst and cultural liaison. The 17.5% revenue growth demonstrates that when sales strategies are tailored to Amsterdam's specific business environment, exceptional results follow.</w:t>
      </w:r>
    </w:p>
    <w:p>
      <w:pPr>
        <w:pStyle w:val="BodyText"/>
      </w:pPr>
      <w:r>
        <w:t xml:space="preserve">As we move into Q4 2023, our Sales Executive team in Netherlands Amsterdam will focus on converting the strong pipeline (€2.8M) into signed contracts while deepening relationships with key accounts like KLM and ING Bank. This targeted approach ensures continued leadership in one of Europe's most sophisticated sales markets.</w:t>
      </w:r>
    </w:p>
    <w:bookmarkEnd w:id="28"/>
    <w:p>
      <w:pPr>
        <w:pStyle w:val="BodyText"/>
      </w:pPr>
      <w:r>
        <w:t xml:space="preserve">This Sales Report was prepared by the International Sales Performance Department | Confidential for Netherlands Amsterdam Territory Use Only</w:t>
      </w:r>
    </w:p>
    <w:p>
      <w:pPr>
        <w:pStyle w:val="BodyText"/>
      </w:pPr>
      <w:r>
        <w:t xml:space="preserve">Prepared on October 15, 2023 | Document ID: NL-AM-SR-Q3-2023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Sales Executive Performance Report - Q3 2023</dc:title>
  <dc:creator/>
  <dc:language>en</dc:language>
  <cp:keywords/>
  <dcterms:created xsi:type="dcterms:W3CDTF">2025-12-12T07:21:22Z</dcterms:created>
  <dcterms:modified xsi:type="dcterms:W3CDTF">2025-12-12T07:21:22Z</dcterms:modified>
</cp:coreProperties>
</file>

<file path=docProps/custom.xml><?xml version="1.0" encoding="utf-8"?>
<Properties xmlns="http://schemas.openxmlformats.org/officeDocument/2006/custom-properties" xmlns:vt="http://schemas.openxmlformats.org/officeDocument/2006/docPropsVTypes"/>
</file>