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Moscow</w:t>
      </w:r>
      <w:r>
        <w:t xml:space="preserve"> </w:t>
      </w:r>
      <w:r>
        <w:t xml:space="preserve">Market</w:t>
      </w:r>
      <w:r>
        <w:t xml:space="preserve"> </w:t>
      </w:r>
      <w:r>
        <w:t xml:space="preserve">Performance</w:t>
      </w:r>
      <w:r>
        <w:t xml:space="preserve"> </w:t>
      </w:r>
      <w:r>
        <w:t xml:space="preserve">-</w:t>
      </w:r>
      <w:r>
        <w:t xml:space="preserve"> </w:t>
      </w:r>
      <w:r>
        <w:t xml:space="preserve">Q1</w:t>
      </w:r>
      <w:r>
        <w:t xml:space="preserve"> </w:t>
      </w:r>
      <w:r>
        <w:t xml:space="preserve">2024</w:t>
      </w:r>
    </w:p>
    <w:bookmarkStart w:id="27" w:name="X90ee2e106f9cbb75fbe8f34f295b884a60c4e18"/>
    <w:p>
      <w:pPr>
        <w:pStyle w:val="Heading1"/>
      </w:pPr>
      <w:r>
        <w:t xml:space="preserve">Sales Report: Strategic Performance Analysis for Sales Executive in Russia Moscow (Q1 2024)</w:t>
      </w:r>
    </w:p>
    <w:bookmarkStart w:id="20" w:name="executive-summary"/>
    <w:p>
      <w:pPr>
        <w:pStyle w:val="Heading2"/>
      </w:pPr>
      <w:r>
        <w:t xml:space="preserve">Executive Summary</w:t>
      </w:r>
    </w:p>
    <w:p>
      <w:pPr>
        <w:pStyle w:val="FirstParagraph"/>
      </w:pPr>
      <w:r>
        <w:t xml:space="preserve">This comprehensive Sales Report details the performance of our Sales Executive team operating within the Russia Moscow market during the first quarter of 2024. As a critical hub for our Eastern European operations, Moscow represents a high-value yet complex commercial environment requiring tailored strategies. This report underscores key achievements, challenges faced by our dedicated Sales Executive, and actionable recommendations to sustain momentum in this pivotal market.</w:t>
      </w:r>
    </w:p>
    <w:bookmarkEnd w:id="20"/>
    <w:bookmarkStart w:id="21" w:name="market-context-russia-moscow-dynamics"/>
    <w:p>
      <w:pPr>
        <w:pStyle w:val="Heading2"/>
      </w:pPr>
      <w:r>
        <w:t xml:space="preserve">Market Context: Russia Moscow Dynamics</w:t>
      </w:r>
    </w:p>
    <w:p>
      <w:pPr>
        <w:pStyle w:val="FirstParagraph"/>
      </w:pPr>
      <w:r>
        <w:t xml:space="preserve">Moscow remains the undisputed economic engine of Russia, accounting for over 30% of national GDP and housing 12 million residents. In Q1 2024, the city's B2B sector demonstrated resilient growth (4.7% YoY) despite global headwinds, particularly in enterprise software, industrial equipment, and premium services. However, operational challenges persist due to sanctions compliance requirements and evolving local regulations. Our Sales Executive team navigated these complexities while expanding market share by 18% against a competitive landscape dominated by domestic players like Yandex.Market and international entrants adapting to local conditions.</w:t>
      </w:r>
    </w:p>
    <w:bookmarkEnd w:id="21"/>
    <w:bookmarkStart w:id="22" w:name="q1-sales-performance-key-metrics"/>
    <w:p>
      <w:pPr>
        <w:pStyle w:val="Heading2"/>
      </w:pPr>
      <w:r>
        <w:t xml:space="preserve">Q1 Sales Performance: Key Metrics</w:t>
      </w:r>
    </w:p>
    <w:p>
      <w:pPr>
        <w:pStyle w:val="FirstParagraph"/>
      </w:pPr>
      <w:r>
        <w:t xml:space="preserve">The Russia Moscow office achieved $4.8M in Q1 sales volume, representing a 23% increase year-over-year. This growth was driven by strategic initiatives executed by our Sales Executive team:</w:t>
      </w:r>
    </w:p>
    <w:p>
      <w:pPr>
        <w:numPr>
          <w:ilvl w:val="0"/>
          <w:numId w:val="1001"/>
        </w:numPr>
        <w:pStyle w:val="Compact"/>
      </w:pPr>
      <w:r>
        <w:rPr>
          <w:bCs/>
          <w:b/>
        </w:rPr>
        <w:t xml:space="preserve">Customer Acquisition:</w:t>
      </w:r>
      <w:r>
        <w:t xml:space="preserve"> </w:t>
      </w:r>
      <w:r>
        <w:t xml:space="preserve">Secured 37 new enterprise clients (including Sberbank Moscow Regional Office and Gazprom Neft IT division), exceeding targets by 22%</w:t>
      </w:r>
    </w:p>
    <w:p>
      <w:pPr>
        <w:numPr>
          <w:ilvl w:val="0"/>
          <w:numId w:val="1001"/>
        </w:numPr>
        <w:pStyle w:val="Compact"/>
      </w:pPr>
      <w:r>
        <w:rPr>
          <w:bCs/>
          <w:b/>
        </w:rPr>
        <w:t xml:space="preserve">Revenue Growth:</w:t>
      </w:r>
      <w:r>
        <w:t xml:space="preserve"> </w:t>
      </w:r>
      <w:r>
        <w:t xml:space="preserve">Achieved $3.1M in new business revenue, with the Sales Executive closing deals averaging $85K vs. target of $72K</w:t>
      </w:r>
    </w:p>
    <w:p>
      <w:pPr>
        <w:numPr>
          <w:ilvl w:val="0"/>
          <w:numId w:val="1001"/>
        </w:numPr>
        <w:pStyle w:val="Compact"/>
      </w:pPr>
      <w:r>
        <w:rPr>
          <w:bCs/>
          <w:b/>
        </w:rPr>
        <w:t xml:space="preserve">Cross-Sell Success:</w:t>
      </w:r>
      <w:r>
        <w:t xml:space="preserve"> </w:t>
      </w:r>
      <w:r>
        <w:t xml:space="preserve">Increased average deal size by 19% through strategic bundling of our NordicTech enterprise suite with local logistics partners</w:t>
      </w:r>
    </w:p>
    <w:p>
      <w:pPr>
        <w:numPr>
          <w:ilvl w:val="0"/>
          <w:numId w:val="1001"/>
        </w:numPr>
        <w:pStyle w:val="Compact"/>
      </w:pPr>
      <w:r>
        <w:rPr>
          <w:bCs/>
          <w:b/>
        </w:rPr>
        <w:t xml:space="preserve">Client Retention:</w:t>
      </w:r>
      <w:r>
        <w:t xml:space="preserve"> </w:t>
      </w:r>
      <w:r>
        <w:t xml:space="preserve">Maintained 94% renewal rate with existing Moscow-based clients, above regional benchmark (87%)</w:t>
      </w:r>
    </w:p>
    <w:bookmarkEnd w:id="22"/>
    <w:bookmarkStart w:id="23" w:name="Xfa6f3f059e73be454a07da8c326e744e2852aae"/>
    <w:p>
      <w:pPr>
        <w:pStyle w:val="Heading2"/>
      </w:pPr>
      <w:r>
        <w:t xml:space="preserve">Sales Executive Impact: Strategic Initiatives in Russia Moscow</w:t>
      </w:r>
    </w:p>
    <w:p>
      <w:pPr>
        <w:pStyle w:val="FirstParagraph"/>
      </w:pPr>
      <w:r>
        <w:t xml:space="preserve">The exceptional performance directly correlates to the proactive leadership of our Sales Executive. In this volatile market, they implemented three critical initiatives:</w:t>
      </w:r>
    </w:p>
    <w:p>
      <w:pPr>
        <w:numPr>
          <w:ilvl w:val="0"/>
          <w:numId w:val="1002"/>
        </w:numPr>
        <w:pStyle w:val="Compact"/>
      </w:pPr>
      <w:r>
        <w:rPr>
          <w:bCs/>
          <w:b/>
        </w:rPr>
        <w:t xml:space="preserve">Localized Value Proposition Development:</w:t>
      </w:r>
      <w:r>
        <w:t xml:space="preserve"> </w:t>
      </w:r>
      <w:r>
        <w:t xml:space="preserve">The Sales Executive conducted deep-dive market analysis of Moscow's unique pain points (e.g., supply chain disruptions, digital transformation needs in manufacturing), tailoring our solutions to address these directly. This resulted in a 35% higher conversion rate for proposed solutions versus generic offerings.</w:t>
      </w:r>
    </w:p>
    <w:p>
      <w:pPr>
        <w:numPr>
          <w:ilvl w:val="0"/>
          <w:numId w:val="1002"/>
        </w:numPr>
        <w:pStyle w:val="Compact"/>
      </w:pPr>
      <w:r>
        <w:rPr>
          <w:bCs/>
          <w:b/>
        </w:rPr>
        <w:t xml:space="preserve">Strategic Partnership Building:</w:t>
      </w:r>
      <w:r>
        <w:t xml:space="preserve"> </w:t>
      </w:r>
      <w:r>
        <w:t xml:space="preserve">Leveraging extensive local networks, the Sales Executive forged key alliances with Moscow-based IT integrators (e.g., "M-Data Solutions" in Tverskoy District), enabling 42% of new deals to include bundled services – a significant differentiator against competitors.</w:t>
      </w:r>
    </w:p>
    <w:p>
      <w:pPr>
        <w:numPr>
          <w:ilvl w:val="0"/>
          <w:numId w:val="1002"/>
        </w:numPr>
        <w:pStyle w:val="Compact"/>
      </w:pPr>
      <w:r>
        <w:rPr>
          <w:bCs/>
          <w:b/>
        </w:rPr>
        <w:t xml:space="preserve">Compliance Integration:</w:t>
      </w:r>
      <w:r>
        <w:t xml:space="preserve"> </w:t>
      </w:r>
      <w:r>
        <w:t xml:space="preserve">Recognizing Russia's complex regulatory environment, the Sales Executive embedded sanctions compliance protocols into every sales cycle. This eliminated potential deal derailments and built trust with Russian enterprises prioritizing legal certainty.</w:t>
      </w:r>
    </w:p>
    <w:bookmarkEnd w:id="23"/>
    <w:bookmarkStart w:id="24" w:name="challenges-faced-in-moscow-market"/>
    <w:p>
      <w:pPr>
        <w:pStyle w:val="Heading2"/>
      </w:pPr>
      <w:r>
        <w:t xml:space="preserve">Challenges Faced in Moscow Market</w:t>
      </w:r>
    </w:p>
    <w:p>
      <w:pPr>
        <w:pStyle w:val="FirstParagraph"/>
      </w:pPr>
      <w:r>
        <w:t xml:space="preserve">The Sales Executive encountered specific obstacles unique to operating in Russia Moscow:</w:t>
      </w:r>
    </w:p>
    <w:p>
      <w:pPr>
        <w:numPr>
          <w:ilvl w:val="0"/>
          <w:numId w:val="1003"/>
        </w:numPr>
        <w:pStyle w:val="Compact"/>
      </w:pPr>
      <w:r>
        <w:rPr>
          <w:bCs/>
          <w:b/>
        </w:rPr>
        <w:t xml:space="preserve">Payment Processing Delays:</w:t>
      </w:r>
      <w:r>
        <w:t xml:space="preserve"> </w:t>
      </w:r>
      <w:r>
        <w:t xml:space="preserve">Banking restrictions caused 15-20 day delays in payment clearance. The Sales Executive negotiated extended terms with clients and implemented advance payment structures for new contracts, reducing revenue cycle impact by 40%.</w:t>
      </w:r>
    </w:p>
    <w:p>
      <w:pPr>
        <w:numPr>
          <w:ilvl w:val="0"/>
          <w:numId w:val="1003"/>
        </w:numPr>
        <w:pStyle w:val="Compact"/>
      </w:pPr>
      <w:r>
        <w:rPr>
          <w:bCs/>
          <w:b/>
        </w:rPr>
        <w:t xml:space="preserve">Cultural Nuance Adaptation:</w:t>
      </w:r>
      <w:r>
        <w:t xml:space="preserve"> </w:t>
      </w:r>
      <w:r>
        <w:t xml:space="preserve">Initial sales approaches failed due to underestimating Moscow's preference for relationship-based decision-making. The Sales Executive restructured their engagement model to include quarterly business reviews with C-suite executives, not just technical teams.</w:t>
      </w:r>
    </w:p>
    <w:bookmarkEnd w:id="24"/>
    <w:bookmarkStart w:id="25" w:name="X028e0486fe89b6c361a9a17951e5fcf666d8dd3"/>
    <w:p>
      <w:pPr>
        <w:pStyle w:val="Heading2"/>
      </w:pPr>
      <w:r>
        <w:t xml:space="preserve">Action Plan: Future Strategy for Russia Moscow</w:t>
      </w:r>
    </w:p>
    <w:p>
      <w:pPr>
        <w:pStyle w:val="FirstParagraph"/>
      </w:pPr>
      <w:r>
        <w:t xml:space="preserve">Building on Q1 success, the Sales Executive has proposed a targeted action plan for Q2 2024:</w:t>
      </w:r>
    </w:p>
    <w:p>
      <w:pPr>
        <w:numPr>
          <w:ilvl w:val="0"/>
          <w:numId w:val="1004"/>
        </w:numPr>
        <w:pStyle w:val="Compact"/>
      </w:pPr>
      <w:r>
        <w:rPr>
          <w:bCs/>
          <w:b/>
        </w:rPr>
        <w:t xml:space="preserve">Expand in Key Moscow Districts:</w:t>
      </w:r>
      <w:r>
        <w:t xml:space="preserve"> </w:t>
      </w:r>
      <w:r>
        <w:t xml:space="preserve">Focus on growth in high-potential areas (Zamoskvorechye and Krasnogorsky) with tailored campaigns for manufacturing clusters, targeting $1.8M incremental revenue.</w:t>
      </w:r>
    </w:p>
    <w:p>
      <w:pPr>
        <w:numPr>
          <w:ilvl w:val="0"/>
          <w:numId w:val="1004"/>
        </w:numPr>
        <w:pStyle w:val="Compact"/>
      </w:pPr>
      <w:r>
        <w:rPr>
          <w:bCs/>
          <w:b/>
        </w:rPr>
        <w:t xml:space="preserve">Develop Russian-Language Sales Assets:</w:t>
      </w:r>
      <w:r>
        <w:t xml:space="preserve"> </w:t>
      </w:r>
      <w:r>
        <w:t xml:space="preserve">Create localized case studies and demo materials addressing Moscow-specific use cases, reducing client onboarding time by 30%.</w:t>
      </w:r>
    </w:p>
    <w:bookmarkEnd w:id="25"/>
    <w:bookmarkStart w:id="26" w:name="Xc09ee5bd73beab255774ea956d0adbf0fc9f9da"/>
    <w:p>
      <w:pPr>
        <w:pStyle w:val="Heading2"/>
      </w:pPr>
      <w:r>
        <w:t xml:space="preserve">Conclusion: Sales Executive Value in Moscow</w:t>
      </w:r>
    </w:p>
    <w:p>
      <w:pPr>
        <w:pStyle w:val="FirstParagraph"/>
      </w:pPr>
      <w:r>
        <w:t xml:space="preserve">This Sales Report unequivocally demonstrates the strategic value of our Sales Executive within the Russia Moscow market. Their localized expertise, compliance acumen, and relationship-driven approach directly translated into significant revenue growth (23% YoY) while navigating one of the world's most complex business environments. As we move into Q2, maintaining this momentum requires doubling down on Moscow-specific strategies – a focus area where our Sales Executive’s deep market understanding creates an unassailable competitive advantage.</w:t>
      </w:r>
    </w:p>
    <w:p>
      <w:pPr>
        <w:pStyle w:val="BodyText"/>
      </w:pPr>
      <w:r>
        <w:t xml:space="preserve">For sustained success in Russia Moscow, future investment must prioritize empowering Sales Executives with deeper local insights and partnership resources. The current results prove that when the right Sales Executive leverages market-specific knowledge within this critical region, exceptional performance becomes the standard. We recommend allocating 15% of Q2 training budget to advanced cultural competency modules for all executives operating in Russia, ensuring continued leadership in Moscow's dynamic marketplace.</w:t>
      </w:r>
    </w:p>
    <w:p>
      <w:pPr>
        <w:pStyle w:val="BodyText"/>
      </w:pPr>
      <w:r>
        <w:rPr>
          <w:bCs/>
          <w:b/>
        </w:rPr>
        <w:t xml:space="preserve">Prepared For:</w:t>
      </w:r>
      <w:r>
        <w:t xml:space="preserve"> </w:t>
      </w:r>
      <w:r>
        <w:t xml:space="preserve">Regional Executive Team, Global Sales Leadership |</w:t>
      </w:r>
      <w:r>
        <w:t xml:space="preserve"> </w:t>
      </w:r>
      <w:r>
        <w:rPr>
          <w:bCs/>
          <w:b/>
        </w:rPr>
        <w:t xml:space="preserve">Date:</w:t>
      </w:r>
      <w:r>
        <w:t xml:space="preserve"> </w:t>
      </w:r>
      <w:r>
        <w:t xml:space="preserve">April 15,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Moscow Market Performance - Q1 2024</dc:title>
  <dc:creator/>
  <dc:language>en</dc:language>
  <cp:keywords/>
  <dcterms:created xsi:type="dcterms:W3CDTF">2025-12-13T09:17:59Z</dcterms:created>
  <dcterms:modified xsi:type="dcterms:W3CDTF">2025-12-13T09:17:59Z</dcterms:modified>
</cp:coreProperties>
</file>

<file path=docProps/custom.xml><?xml version="1.0" encoding="utf-8"?>
<Properties xmlns="http://schemas.openxmlformats.org/officeDocument/2006/custom-properties" xmlns:vt="http://schemas.openxmlformats.org/officeDocument/2006/docPropsVTypes"/>
</file>