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Saint</w:t>
      </w:r>
      <w:r>
        <w:t xml:space="preserve"> </w:t>
      </w:r>
      <w:r>
        <w:t xml:space="preserve">Petersburg</w:t>
      </w:r>
      <w:r>
        <w:t xml:space="preserve"> </w:t>
      </w:r>
      <w:r>
        <w:t xml:space="preserve">Territory</w:t>
      </w:r>
      <w:r>
        <w:t xml:space="preserve"> </w:t>
      </w:r>
      <w:r>
        <w:t xml:space="preserve">-</w:t>
      </w:r>
      <w:r>
        <w:t xml:space="preserve"> </w:t>
      </w:r>
      <w:r>
        <w:t xml:space="preserve">Russia</w:t>
      </w:r>
    </w:p>
    <w:bookmarkStart w:id="29" w:name="X1b5cabff0b1c9020e2a12cb6aad9090f367fc5a"/>
    <w:p>
      <w:pPr>
        <w:pStyle w:val="Heading1"/>
      </w:pPr>
      <w:r>
        <w:t xml:space="preserve">SALES REPORT FOR SALES EXECUTIVE - ST. PETERSBURG TERRITORY, RUSSIA</w:t>
      </w:r>
    </w:p>
    <w:p>
      <w:pPr>
        <w:pStyle w:val="FirstParagraph"/>
      </w:pPr>
      <w:r>
        <w:t xml:space="preserve">Prepared for Management Review • Q3 2023 • Confidential</w:t>
      </w:r>
    </w:p>
    <w:bookmarkStart w:id="20" w:name="executive-summary"/>
    <w:p>
      <w:pPr>
        <w:pStyle w:val="Heading2"/>
      </w:pPr>
      <w:r>
        <w:t xml:space="preserve">1. Executive Summary</w:t>
      </w:r>
    </w:p>
    <w:p>
      <w:pPr>
        <w:pStyle w:val="FirstParagraph"/>
      </w:pPr>
      <w:r>
        <w:t xml:space="preserve">This comprehensive Sales Report details the performance of our Sales Executive operating within the strategically vital Saint Petersburg market, Russia. The quarter demonstrated exceptional growth in key sectors despite regional economic volatility. Our Sales Executive achieved a remarkable 142% of quarterly revenue targets across the Russia Saint Petersburg territory, securing new enterprise contracts worth €1.8M and expanding our market share by 8.5% in the metropolitan region. This performance underscores the effectiveness of our localized sales strategy and the Sales Executive's deep understanding of Saint Petersburg's unique commercial landscape within Russia.</w:t>
      </w:r>
    </w:p>
    <w:bookmarkEnd w:id="20"/>
    <w:bookmarkStart w:id="21" w:name="territory-performance-analysis"/>
    <w:p>
      <w:pPr>
        <w:pStyle w:val="Heading2"/>
      </w:pPr>
      <w:r>
        <w:t xml:space="preserve">2. Territory Performance Analysis</w:t>
      </w:r>
    </w:p>
    <w:p>
      <w:pPr>
        <w:pStyle w:val="FirstParagraph"/>
      </w:pPr>
      <w:r>
        <w:t xml:space="preserve">The Saint Petersburg market remains Russia's second-largest economic hub, contributing 15% to national industrial output and housing over 5 million consumers. Our Sales Executive's focus on high-value B2B partnerships with Petrograd-based manufacturing conglomerates (e.g., Sibur, Gazprom Neft) and digital transformation initiatives for regional SMEs has proven highly effective. Key metrics for the Russia Saint Petersburg territory:</w:t>
      </w:r>
    </w:p>
    <w:p>
      <w:pPr>
        <w:numPr>
          <w:ilvl w:val="0"/>
          <w:numId w:val="1001"/>
        </w:numPr>
        <w:pStyle w:val="Compact"/>
      </w:pPr>
      <w:r>
        <w:rPr>
          <w:bCs/>
          <w:b/>
        </w:rPr>
        <w:t xml:space="preserve">Revenue Generated:</w:t>
      </w:r>
      <w:r>
        <w:t xml:space="preserve"> </w:t>
      </w:r>
      <w:r>
        <w:t xml:space="preserve">€3.2M (142% of target)</w:t>
      </w:r>
    </w:p>
    <w:p>
      <w:pPr>
        <w:numPr>
          <w:ilvl w:val="0"/>
          <w:numId w:val="1001"/>
        </w:numPr>
        <w:pStyle w:val="Compact"/>
      </w:pPr>
      <w:r>
        <w:rPr>
          <w:bCs/>
          <w:b/>
        </w:rPr>
        <w:t xml:space="preserve">New Client Acquisition:</w:t>
      </w:r>
      <w:r>
        <w:t xml:space="preserve"> </w:t>
      </w:r>
      <w:r>
        <w:t xml:space="preserve">17 enterprises (vs. target 14)</w:t>
      </w:r>
    </w:p>
    <w:p>
      <w:pPr>
        <w:numPr>
          <w:ilvl w:val="0"/>
          <w:numId w:val="1001"/>
        </w:numPr>
        <w:pStyle w:val="Compact"/>
      </w:pPr>
      <w:r>
        <w:rPr>
          <w:bCs/>
          <w:b/>
        </w:rPr>
        <w:t xml:space="preserve">Cross-Sell Success Rate:</w:t>
      </w:r>
      <w:r>
        <w:t xml:space="preserve"> </w:t>
      </w:r>
      <w:r>
        <w:t xml:space="preserve">68% (up from 52% Q2)</w:t>
      </w:r>
    </w:p>
    <w:p>
      <w:pPr>
        <w:numPr>
          <w:ilvl w:val="0"/>
          <w:numId w:val="1001"/>
        </w:numPr>
        <w:pStyle w:val="Compact"/>
      </w:pPr>
      <w:r>
        <w:t xml:space="preserve">94% (industry average: 83%)</w:t>
      </w:r>
    </w:p>
    <w:p>
      <w:pPr>
        <w:pStyle w:val="FirstParagraph"/>
      </w:pPr>
      <w:r>
        <w:t xml:space="preserve">The Sales Executive's mastery of Saint Petersburg's complex procurement cycles—particularly navigating the bureaucratic nuances of regional government contracts—has been instrumental in exceeding targets. This territory consistently contributes over 22% of our total Russia revenue, making this Sales Executive pivotal to our national strategy.</w:t>
      </w:r>
    </w:p>
    <w:bookmarkEnd w:id="21"/>
    <w:bookmarkStart w:id="25" w:name="X955275db69a036353976d69dbcffad4c50dd9cc"/>
    <w:p>
      <w:pPr>
        <w:pStyle w:val="Heading2"/>
      </w:pPr>
      <w:r>
        <w:t xml:space="preserve">3. Key Achievements in Russia Saint Petersburg</w:t>
      </w:r>
    </w:p>
    <w:p>
      <w:pPr>
        <w:pStyle w:val="FirstParagraph"/>
      </w:pPr>
      <w:r>
        <w:t xml:space="preserve">Our Sales Executive delivered transformative results through three strategic initiatives:</w:t>
      </w:r>
    </w:p>
    <w:bookmarkStart w:id="22" w:name="Xeb14a38609fa53eeb7631d87590e13781bb2248"/>
    <w:p>
      <w:pPr>
        <w:pStyle w:val="Heading3"/>
      </w:pPr>
      <w:r>
        <w:t xml:space="preserve">A. Petrograd Industrial Consortium Partnership</w:t>
      </w:r>
    </w:p>
    <w:p>
      <w:pPr>
        <w:pStyle w:val="FirstParagraph"/>
      </w:pPr>
      <w:r>
        <w:t xml:space="preserve">Secured a landmark €1.2M contract with the Saint Petersburg Industrial Consortium (SPIC) for enterprise software solutions, replacing legacy systems across 8 manufacturing plants. The Sales Executive leveraged deep relationships cultivated over two years, understanding SPIC's specific needs for integration with Russian-made machinery—addressing a critical gap in our product offering. This win included a 3-year maintenance agreement valued at €450K.</w:t>
      </w:r>
    </w:p>
    <w:bookmarkEnd w:id="22"/>
    <w:bookmarkStart w:id="23" w:name="b.-sme-digital-transformation-drive"/>
    <w:p>
      <w:pPr>
        <w:pStyle w:val="Heading3"/>
      </w:pPr>
      <w:r>
        <w:t xml:space="preserve">B. SME Digital Transformation Drive</w:t>
      </w:r>
    </w:p>
    <w:p>
      <w:pPr>
        <w:pStyle w:val="FirstParagraph"/>
      </w:pPr>
      <w:r>
        <w:t xml:space="preserve">Launched targeted workshops across Saint Petersburg's tech hubs (including Skolkovo Innovation Center), converting 12 mid-tier businesses into clients. The Sales Executive developed culturally resonant sales collateral addressing Russian business owners' concerns about data sovereignty—highlighting our compliance with Russian Federal Law No. 152-FZ on personal data protection. This initiative generated €480K in new revenue and positioned us as the market leader for GDPR-compliant solutions in Russia.</w:t>
      </w:r>
    </w:p>
    <w:bookmarkEnd w:id="23"/>
    <w:bookmarkStart w:id="24" w:name="c.-regional-sales-network-expansion"/>
    <w:p>
      <w:pPr>
        <w:pStyle w:val="Heading3"/>
      </w:pPr>
      <w:r>
        <w:t xml:space="preserve">C. Regional Sales Network Expansion</w:t>
      </w:r>
    </w:p>
    <w:p>
      <w:pPr>
        <w:pStyle w:val="FirstParagraph"/>
      </w:pPr>
      <w:r>
        <w:t xml:space="preserve">Established strategic partnerships with 4 local distributors across Saint Petersburg, including a key alliance with St. Petersburg-based logistics firm "Nevsky Express." This extended our coverage to the Leningrad Oblast region, creating a scalable sales model now replicable in other Russian cities. The Sales Executive personally mentored these partners on our solution suite, driving 23% of new pipeline from this channel.</w:t>
      </w:r>
    </w:p>
    <w:bookmarkEnd w:id="24"/>
    <w:bookmarkEnd w:id="25"/>
    <w:bookmarkStart w:id="26" w:name="market-specific-challenges-solutions"/>
    <w:p>
      <w:pPr>
        <w:pStyle w:val="Heading2"/>
      </w:pPr>
      <w:r>
        <w:t xml:space="preserve">4. Market-Specific Challenges &amp; Solutions</w:t>
      </w:r>
    </w:p>
    <w:p>
      <w:pPr>
        <w:pStyle w:val="FirstParagraph"/>
      </w:pPr>
      <w:r>
        <w:t xml:space="preserve">The Russia Saint Petersburg market presented unique obstacles requiring tailored approaches:</w:t>
      </w:r>
    </w:p>
    <w:p>
      <w:pPr>
        <w:numPr>
          <w:ilvl w:val="0"/>
          <w:numId w:val="1002"/>
        </w:numPr>
        <w:pStyle w:val="Compact"/>
      </w:pPr>
      <w:r>
        <w:rPr>
          <w:bCs/>
          <w:b/>
        </w:rPr>
        <w:t xml:space="preserve">Regulatory Complexity:</w:t>
      </w:r>
      <w:r>
        <w:t xml:space="preserve"> </w:t>
      </w:r>
      <w:r>
        <w:t xml:space="preserve">Navigating dual compliance with EU GDPR and Russian data laws required the Sales Executive to collaborate closely with our Moscow legal team. Solution: Created region-specific contract templates approved by Russia's Federal Antimonopoly Service (FAS), reducing approval time by 40%.</w:t>
      </w:r>
    </w:p>
    <w:p>
      <w:pPr>
        <w:numPr>
          <w:ilvl w:val="0"/>
          <w:numId w:val="1002"/>
        </w:numPr>
        <w:pStyle w:val="Compact"/>
      </w:pPr>
      <w:r>
        <w:rPr>
          <w:bCs/>
          <w:b/>
        </w:rPr>
        <w:t xml:space="preserve">Cultural Nuances:</w:t>
      </w:r>
      <w:r>
        <w:t xml:space="preserve"> </w:t>
      </w:r>
      <w:r>
        <w:t xml:space="preserve">Initial resistance from Saint Petersburg's traditional business community due to foreign brand perception. Solution: The Sales Executive hosted quarterly "Business Breakfasts" at historic venues like the Yusupov Palace, building trust through culturally relevant engagement.</w:t>
      </w:r>
    </w:p>
    <w:p>
      <w:pPr>
        <w:numPr>
          <w:ilvl w:val="0"/>
          <w:numId w:val="1002"/>
        </w:numPr>
        <w:pStyle w:val="Compact"/>
      </w:pPr>
      <w:r>
        <w:rPr>
          <w:bCs/>
          <w:b/>
        </w:rPr>
        <w:t xml:space="preserve">Economic Volatility:</w:t>
      </w:r>
      <w:r>
        <w:t xml:space="preserve"> </w:t>
      </w:r>
      <w:r>
        <w:t xml:space="preserve">Currency fluctuations impacting client budget cycles. Solution: Implemented flexible payment plans in rubles and euros, securing 92% of new contracts with fixed-ruble pricing.</w:t>
      </w:r>
    </w:p>
    <w:bookmarkEnd w:id="26"/>
    <w:bookmarkStart w:id="27" w:name="strategic-recommendations-for-future-q4"/>
    <w:p>
      <w:pPr>
        <w:pStyle w:val="Heading2"/>
      </w:pPr>
      <w:r>
        <w:t xml:space="preserve">5. Strategic Recommendations for Future Q4</w:t>
      </w:r>
    </w:p>
    <w:p>
      <w:pPr>
        <w:pStyle w:val="FirstParagraph"/>
      </w:pPr>
      <w:r>
        <w:t xml:space="preserve">Based on the Sales Executive's insights from Russia Saint Petersburg operations, we propose:</w:t>
      </w:r>
    </w:p>
    <w:p>
      <w:pPr>
        <w:numPr>
          <w:ilvl w:val="0"/>
          <w:numId w:val="1003"/>
        </w:numPr>
        <w:pStyle w:val="Compact"/>
      </w:pPr>
      <w:r>
        <w:rPr>
          <w:bCs/>
          <w:b/>
        </w:rPr>
        <w:t xml:space="preserve">Expand into Saint Petersburg's Healthcare Sector:</w:t>
      </w:r>
      <w:r>
        <w:t xml:space="preserve"> </w:t>
      </w:r>
      <w:r>
        <w:t xml:space="preserve">Target regional hospitals (e.g., City Clinical Hospital #1) for telemedicine solutions—identified as high-growth opportunity by the Sales Executive after attending the St. Petersburg Healthcare Summit.</w:t>
      </w:r>
    </w:p>
    <w:p>
      <w:pPr>
        <w:numPr>
          <w:ilvl w:val="0"/>
          <w:numId w:val="1003"/>
        </w:numPr>
        <w:pStyle w:val="Compact"/>
      </w:pPr>
      <w:r>
        <w:rPr>
          <w:bCs/>
          <w:b/>
        </w:rPr>
        <w:t xml:space="preserve">Launch Localized Product Suite:</w:t>
      </w:r>
      <w:r>
        <w:t xml:space="preserve"> </w:t>
      </w:r>
      <w:r>
        <w:t xml:space="preserve">Develop Russian-language customer support and localized features based on feedback from Saint Petersburg clients, addressing 73% of feature requests received in Q3.</w:t>
      </w:r>
    </w:p>
    <w:p>
      <w:pPr>
        <w:numPr>
          <w:ilvl w:val="0"/>
          <w:numId w:val="1003"/>
        </w:numPr>
        <w:pStyle w:val="Compact"/>
      </w:pPr>
      <w:r>
        <w:rPr>
          <w:bCs/>
          <w:b/>
        </w:rPr>
        <w:t xml:space="preserve">Strengthen Government Relations:</w:t>
      </w:r>
      <w:r>
        <w:t xml:space="preserve"> </w:t>
      </w:r>
      <w:r>
        <w:t xml:space="preserve">Partner with the Saint Petersburg Department of Economic Development for joint digital economy initiatives, leveraging the Sales Executive's established rapport with city officials.</w:t>
      </w:r>
    </w:p>
    <w:bookmarkEnd w:id="27"/>
    <w:bookmarkStart w:id="28" w:name="conclusion"/>
    <w:p>
      <w:pPr>
        <w:pStyle w:val="Heading2"/>
      </w:pPr>
      <w:r>
        <w:t xml:space="preserve">6. Conclusion</w:t>
      </w:r>
    </w:p>
    <w:p>
      <w:pPr>
        <w:pStyle w:val="FirstParagraph"/>
      </w:pPr>
      <w:r>
        <w:t xml:space="preserve">This Sales Report unequivocally demonstrates how strategic focus on Russia Saint Petersburg, executed by our dedicated Sales Executive, has driven exceptional results. The territory's performance—surpassing targets by 42% and generating €1.8M in new contracts—validates our investment in localized sales leadership within Russia's most sophisticated market outside Moscow.</w:t>
      </w:r>
    </w:p>
    <w:p>
      <w:pPr>
        <w:pStyle w:val="BodyText"/>
      </w:pPr>
      <w:r>
        <w:t xml:space="preserve">The Sales Executive's deep understanding of Saint Petersburg's business culture, regulatory environment, and economic drivers has been the critical differentiator. As Russia continues to prioritize Saint Petersburg as a global trade hub (evidenced by the 2023 Eurasian Economic Union summit held there), this Sales Executive position remains central to our long-term growth strategy in Russia.</w:t>
      </w:r>
    </w:p>
    <w:p>
      <w:pPr>
        <w:pStyle w:val="BodyText"/>
      </w:pPr>
      <w:r>
        <w:t xml:space="preserve">We commend our Sales Executive for transforming regional challenges into opportunities and recommend immediate expansion of their territory scope to include Leningrad Oblast. The success story in Russia Saint Petersburg serves as the blueprint for all future market expansions across the Russian Federation, proving that hyper-localized sales execution is non-negotiable in complex emerging markets.</w:t>
      </w:r>
    </w:p>
    <w:p>
      <w:pPr>
        <w:pStyle w:val="BodyText"/>
      </w:pPr>
      <w:r>
        <w:t xml:space="preserve">Prepared by: Regional Sales Management • Approved by: Global VP of Sales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Saint Petersburg Territory - Russia</dc:title>
  <dc:creator/>
  <dc:language>en</dc:language>
  <cp:keywords/>
  <dcterms:created xsi:type="dcterms:W3CDTF">2026-07-24T10:00:46Z</dcterms:created>
  <dcterms:modified xsi:type="dcterms:W3CDTF">2026-07-24T10:00:46Z</dcterms:modified>
</cp:coreProperties>
</file>

<file path=docProps/custom.xml><?xml version="1.0" encoding="utf-8"?>
<Properties xmlns="http://schemas.openxmlformats.org/officeDocument/2006/custom-properties" xmlns:vt="http://schemas.openxmlformats.org/officeDocument/2006/docPropsVTypes"/>
</file>