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Madrid</w:t>
      </w:r>
      <w:r>
        <w:t xml:space="preserve"> </w:t>
      </w:r>
      <w:r>
        <w:t xml:space="preserve">Operations</w:t>
      </w:r>
    </w:p>
    <w:bookmarkStart w:id="27" w:name="X08a092390980ae95e9802df743b091671589824"/>
    <w:p>
      <w:pPr>
        <w:pStyle w:val="Heading1"/>
      </w:pPr>
      <w:r>
        <w:t xml:space="preserve">Q3 2023 Sales Report for Spain Madrid Region</w:t>
      </w:r>
    </w:p>
    <w:p>
      <w:pPr>
        <w:pStyle w:val="FirstParagraph"/>
      </w:pPr>
      <w:r>
        <w:t xml:space="preserve">Prepared for Executive Leadership | Date: October 15, 2023 | Prepared by Sales Executive Team</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sales operations across the Spain Madrid market during Q3 2023. As a key strategic region within our European portfolio, Madrid has demonstrated exceptional growth potential under the leadership of our dedicated Sales Executive team. The quarter concluded with a 14.7% year-over-year revenue increase, significantly outpacing regional targets and establishing new benchmarks for the Spain Madrid market.</w:t>
      </w:r>
    </w:p>
    <w:bookmarkEnd w:id="20"/>
    <w:bookmarkStart w:id="21" w:name="key-performance-indicators-kpis"/>
    <w:p>
      <w:pPr>
        <w:pStyle w:val="Heading2"/>
      </w:pPr>
      <w:r>
        <w:t xml:space="preserve">Key Performance Indicators (KPIs)</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Target</w:t>
      </w:r>
    </w:p>
    <w:p>
      <w:pPr>
        <w:pStyle w:val="BodyText"/>
      </w:pPr>
      <w:r>
        <w:t xml:space="preserve">Variance vs Target (%)</w:t>
      </w:r>
    </w:p>
    <w:p>
      <w:pPr>
        <w:pStyle w:val="BodyText"/>
      </w:pPr>
      <w:r>
        <w:t xml:space="preserve">Total Revenue</w:t>
      </w:r>
    </w:p>
    <w:p>
      <w:pPr>
        <w:pStyle w:val="BodyText"/>
      </w:pPr>
      <w:r>
        <w:t xml:space="preserve">€4,285,000</w:t>
      </w:r>
    </w:p>
    <w:p>
      <w:pPr>
        <w:pStyle w:val="BodyText"/>
      </w:pPr>
      <w:r>
        <w:t xml:space="preserve">€3,736,000</w:t>
      </w:r>
    </w:p>
    <w:p>
      <w:pPr>
        <w:pStyle w:val="BodyText"/>
      </w:pPr>
      <w:r>
        <w:t xml:space="preserve">€3,952,500</w:t>
      </w:r>
    </w:p>
    <w:p>
      <w:pPr>
        <w:pStyle w:val="BodyText"/>
      </w:pPr>
      <w:r>
        <w:t xml:space="preserve">+8.4%</w:t>
      </w:r>
    </w:p>
    <w:p>
      <w:pPr>
        <w:pStyle w:val="BodyText"/>
      </w:pPr>
      <w:r>
        <w:t xml:space="preserve">New Client Acquisition</w:t>
      </w:r>
    </w:p>
    <w:p>
      <w:pPr>
        <w:pStyle w:val="BodyText"/>
      </w:pPr>
      <w:r>
        <w:t xml:space="preserve">27 New Clients</w:t>
      </w:r>
    </w:p>
    <w:p>
      <w:pPr>
        <w:pStyle w:val="BodyText"/>
      </w:pPr>
      <w:r>
        <w:t xml:space="preserve">19 New Clients</w:t>
      </w:r>
    </w:p>
    <w:p>
      <w:pPr>
        <w:pStyle w:val="BodyText"/>
      </w:pPr>
      <w:r>
        <w:t xml:space="preserve">22 New Clients</w:t>
      </w:r>
    </w:p>
    <w:p>
      <w:pPr>
        <w:pStyle w:val="BodyText"/>
      </w:pPr>
      <w:r>
        <w:t xml:space="preserve">+22.7%</w:t>
      </w:r>
    </w:p>
    <w:p>
      <w:pPr>
        <w:pStyle w:val="BodyText"/>
      </w:pPr>
      <w:r>
        <w:t xml:space="preserve">Customer Retention Rate</w:t>
      </w:r>
    </w:p>
    <w:p>
      <w:pPr>
        <w:pStyle w:val="BodyText"/>
      </w:pPr>
      <w:r>
        <w:t xml:space="preserve">93.5%</w:t>
      </w:r>
    </w:p>
    <w:p>
      <w:pPr>
        <w:pStyle w:val="BodyText"/>
      </w:pPr>
      <w:r>
        <w:t xml:space="preserve">89.2%</w:t>
      </w:r>
    </w:p>
    <w:p>
      <w:pPr>
        <w:pStyle w:val="BodyText"/>
      </w:pPr>
      <w:r>
        <w:t xml:space="preserve">90.0%</w:t>
      </w:r>
    </w:p>
    <w:p>
      <w:pPr>
        <w:pStyle w:val="BodyText"/>
      </w:pPr>
      <w:r>
        <w:t xml:space="preserve">+3.5 percentage points</w:t>
      </w:r>
    </w:p>
    <w:p>
      <w:pPr>
        <w:pStyle w:val="BodyText"/>
      </w:pPr>
      <w:r>
        <w:t xml:space="preserve">Average Deal Size</w:t>
      </w:r>
    </w:p>
    <w:p>
      <w:pPr>
        <w:pStyle w:val="BodyText"/>
      </w:pPr>
      <w:r>
        <w:t xml:space="preserve">€62,480</w:t>
      </w:r>
    </w:p>
    <w:p>
      <w:pPr>
        <w:pStyle w:val="BodyText"/>
      </w:pPr>
      <w:r>
        <w:t xml:space="preserve">€57,800</w:t>
      </w:r>
    </w:p>
    <w:p>
      <w:pPr>
        <w:pStyle w:val="BodyText"/>
      </w:pPr>
      <w:r>
        <w:t xml:space="preserve">€58,900</w:t>
      </w:r>
    </w:p>
    <w:p>
      <w:pPr>
        <w:pStyle w:val="BodyText"/>
      </w:pPr>
      <w:r>
        <w:t xml:space="preserve">+6.1%</w:t>
      </w:r>
    </w:p>
    <w:bookmarkEnd w:id="21"/>
    <w:bookmarkStart w:id="22" w:name="spain-madrid-market-analysis"/>
    <w:p>
      <w:pPr>
        <w:pStyle w:val="Heading2"/>
      </w:pPr>
      <w:r>
        <w:t xml:space="preserve">Spain Madrid Market Analysis</w:t>
      </w:r>
    </w:p>
    <w:p>
      <w:pPr>
        <w:pStyle w:val="FirstParagraph"/>
      </w:pPr>
      <w:r>
        <w:t xml:space="preserve">The Spain Madrid market remains our most dynamic commercial hub in Southern Europe, characterized by strong B2B demand and a sophisticated business environment. As the Sales Executive for this critical territory, I've observed three pivotal market shifts driving our success:</w:t>
      </w:r>
    </w:p>
    <w:p>
      <w:pPr>
        <w:numPr>
          <w:ilvl w:val="0"/>
          <w:numId w:val="1001"/>
        </w:numPr>
        <w:pStyle w:val="Compact"/>
      </w:pPr>
      <w:r>
        <w:rPr>
          <w:bCs/>
          <w:b/>
        </w:rPr>
        <w:t xml:space="preserve">Post-Pandemic Digital Transformation:</w:t>
      </w:r>
      <w:r>
        <w:t xml:space="preserve"> </w:t>
      </w:r>
      <w:r>
        <w:t xml:space="preserve">Madrid-based enterprises accelerated technology adoption, creating unprecedented demand for our cloud solutions. This trend was particularly pronounced in the financial services and healthcare sectors.</w:t>
      </w:r>
    </w:p>
    <w:p>
      <w:pPr>
        <w:numPr>
          <w:ilvl w:val="0"/>
          <w:numId w:val="1001"/>
        </w:numPr>
        <w:pStyle w:val="Compact"/>
      </w:pPr>
      <w:r>
        <w:rPr>
          <w:bCs/>
          <w:b/>
        </w:rPr>
        <w:t xml:space="preserve">Local Partnership Strategy:</w:t>
      </w:r>
      <w:r>
        <w:t xml:space="preserve"> </w:t>
      </w:r>
      <w:r>
        <w:t xml:space="preserve">Collaborating with established Madrid-based consultancies like AECOM and CIE Ingenieros has generated 38% of new pipeline through co-selling initiatives.</w:t>
      </w:r>
    </w:p>
    <w:p>
      <w:pPr>
        <w:numPr>
          <w:ilvl w:val="0"/>
          <w:numId w:val="1001"/>
        </w:numPr>
        <w:pStyle w:val="Compact"/>
      </w:pPr>
      <w:r>
        <w:rPr>
          <w:bCs/>
          <w:b/>
        </w:rPr>
        <w:t xml:space="preserve">Economic Resilience:</w:t>
      </w:r>
      <w:r>
        <w:t xml:space="preserve"> </w:t>
      </w:r>
      <w:r>
        <w:t xml:space="preserve">Despite broader European economic headwinds, Madrid's GDP grew 2.3% YoY, creating favorable conditions for enterprise spending.</w:t>
      </w:r>
    </w:p>
    <w:bookmarkEnd w:id="22"/>
    <w:bookmarkStart w:id="23" w:name="sales-executive-performance-highlights"/>
    <w:p>
      <w:pPr>
        <w:pStyle w:val="Heading2"/>
      </w:pPr>
      <w:r>
        <w:t xml:space="preserve">Sales Executive Performance Highlights</w:t>
      </w:r>
    </w:p>
    <w:p>
      <w:pPr>
        <w:pStyle w:val="FirstParagraph"/>
      </w:pPr>
      <w:r>
        <w:t xml:space="preserve">Our Sales Executive team in Spain Madrid executed with exceptional precision during Q3. Key achievements include:</w:t>
      </w:r>
    </w:p>
    <w:p>
      <w:pPr>
        <w:numPr>
          <w:ilvl w:val="0"/>
          <w:numId w:val="1002"/>
        </w:numPr>
        <w:pStyle w:val="Compact"/>
      </w:pPr>
      <w:r>
        <w:rPr>
          <w:bCs/>
          <w:b/>
        </w:rPr>
        <w:t xml:space="preserve">Record Client Acquisition:</w:t>
      </w:r>
      <w:r>
        <w:t xml:space="preserve"> </w:t>
      </w:r>
      <w:r>
        <w:t xml:space="preserve">Achieved 27 new enterprise clients (18% above target), including major wins with Banco Santander's Madrid regional division and the Comunidad de Madrid government digital transformation initiative.</w:t>
      </w:r>
    </w:p>
    <w:p>
      <w:pPr>
        <w:numPr>
          <w:ilvl w:val="0"/>
          <w:numId w:val="1002"/>
        </w:numPr>
        <w:pStyle w:val="Compact"/>
      </w:pPr>
      <w:r>
        <w:rPr>
          <w:bCs/>
          <w:b/>
        </w:rPr>
        <w:t xml:space="preserve">Cross-Sell Excellence:</w:t>
      </w:r>
      <w:r>
        <w:t xml:space="preserve"> </w:t>
      </w:r>
      <w:r>
        <w:t xml:space="preserve">Successfully implemented our "Value-Add Suite" approach, increasing average deal size by 6.1% through strategic bundling of complementary services.</w:t>
      </w:r>
    </w:p>
    <w:p>
      <w:pPr>
        <w:numPr>
          <w:ilvl w:val="0"/>
          <w:numId w:val="1002"/>
        </w:numPr>
        <w:pStyle w:val="Compact"/>
      </w:pPr>
      <w:r>
        <w:rPr>
          <w:bCs/>
          <w:b/>
        </w:rPr>
        <w:t xml:space="preserve">Client Success Focus:</w:t>
      </w:r>
      <w:r>
        <w:t xml:space="preserve"> </w:t>
      </w:r>
      <w:r>
        <w:t xml:space="preserve">Implemented a new quarterly business reviews (QBR) framework for top 20 clients, resulting in a 32% increase in expansion revenue from existing accounts.</w:t>
      </w:r>
    </w:p>
    <w:p>
      <w:pPr>
        <w:pStyle w:val="FirstParagraph"/>
      </w:pPr>
      <w:r>
        <w:t xml:space="preserve">The Spain Madrid Sales Executive team's ability to navigate cultural nuances—such as adapting communication styles to align with local business protocols during client negotiations—has been instrumental. Our team's deep understanding of Madrid's commercial landscape, including key decision-maker preferences and industry-specific procurement cycles, has directly contributed to our competitive advantage.</w:t>
      </w:r>
    </w:p>
    <w:bookmarkEnd w:id="23"/>
    <w:bookmarkStart w:id="24" w:name="challenges-and-strategic-responses"/>
    <w:p>
      <w:pPr>
        <w:pStyle w:val="Heading2"/>
      </w:pPr>
      <w:r>
        <w:t xml:space="preserve">Challenges and Strategic Responses</w:t>
      </w:r>
    </w:p>
    <w:p>
      <w:pPr>
        <w:pStyle w:val="FirstParagraph"/>
      </w:pPr>
      <w:r>
        <w:t xml:space="preserve">Despite strong results, we faced two significant challenges requiring immediate action:</w:t>
      </w:r>
    </w:p>
    <w:p>
      <w:pPr>
        <w:numPr>
          <w:ilvl w:val="0"/>
          <w:numId w:val="1003"/>
        </w:numPr>
        <w:pStyle w:val="Compact"/>
      </w:pPr>
      <w:r>
        <w:rPr>
          <w:bCs/>
          <w:b/>
        </w:rPr>
        <w:t xml:space="preserve">Competitive Pressure:</w:t>
      </w:r>
      <w:r>
        <w:t xml:space="preserve"> </w:t>
      </w:r>
      <w:r>
        <w:t xml:space="preserve">Local competitor "TechSol" aggressively undercut pricing in the mid-market segment. Our Sales Executive team responded by developing custom value proposition decks emphasizing our Spain Madrid-based support infrastructure and SLA guarantees, successfully retaining 97% of at-risk accounts.</w:t>
      </w:r>
    </w:p>
    <w:p>
      <w:pPr>
        <w:numPr>
          <w:ilvl w:val="0"/>
          <w:numId w:val="1003"/>
        </w:numPr>
        <w:pStyle w:val="Compact"/>
      </w:pPr>
      <w:r>
        <w:rPr>
          <w:bCs/>
          <w:b/>
        </w:rPr>
        <w:t xml:space="preserve">Talent Retention:</w:t>
      </w:r>
      <w:r>
        <w:t xml:space="preserve"> </w:t>
      </w:r>
      <w:r>
        <w:t xml:space="preserve">High competition for experienced sales talent in Madrid. We implemented our "Madrid Growth Pathway" program with accelerated promotion tracks, reducing turnover by 23% quarter-over-quarter.</w:t>
      </w:r>
    </w:p>
    <w:bookmarkEnd w:id="24"/>
    <w:bookmarkStart w:id="25" w:name="X17135e4e8024d3279a8ec367c0e0de8c3646f38"/>
    <w:p>
      <w:pPr>
        <w:pStyle w:val="Heading2"/>
      </w:pPr>
      <w:r>
        <w:t xml:space="preserve">Future Strategic Focus: Spain Madrid Expansion</w:t>
      </w:r>
    </w:p>
    <w:p>
      <w:pPr>
        <w:pStyle w:val="FirstParagraph"/>
      </w:pPr>
      <w:r>
        <w:t xml:space="preserve">Building on Q3's success, our Sales Executive strategy for Q4 and beyond includes three pillars:</w:t>
      </w:r>
    </w:p>
    <w:p>
      <w:pPr>
        <w:numPr>
          <w:ilvl w:val="0"/>
          <w:numId w:val="1004"/>
        </w:numPr>
        <w:pStyle w:val="Compact"/>
      </w:pPr>
      <w:r>
        <w:rPr>
          <w:bCs/>
          <w:b/>
        </w:rPr>
        <w:t xml:space="preserve">Deepening Government Sector Penetration:</w:t>
      </w:r>
      <w:r>
        <w:t xml:space="preserve"> </w:t>
      </w:r>
      <w:r>
        <w:t xml:space="preserve">Targeting Madrid's public procurement initiatives with tailored solutions for municipal services and education.</w:t>
      </w:r>
    </w:p>
    <w:p>
      <w:pPr>
        <w:numPr>
          <w:ilvl w:val="0"/>
          <w:numId w:val="1004"/>
        </w:numPr>
        <w:pStyle w:val="Compact"/>
      </w:pPr>
      <w:r>
        <w:rPr>
          <w:bCs/>
          <w:b/>
        </w:rPr>
        <w:t xml:space="preserve">SME Growth Acceleration:</w:t>
      </w:r>
      <w:r>
        <w:t xml:space="preserve"> </w:t>
      </w:r>
      <w:r>
        <w:t xml:space="preserve">Launching "Madrid Enterprise Connect" program to streamline sales cycles for small-to-mid businesses through digital enablement tools.</w:t>
      </w:r>
    </w:p>
    <w:p>
      <w:pPr>
        <w:numPr>
          <w:ilvl w:val="0"/>
          <w:numId w:val="1004"/>
        </w:numPr>
        <w:pStyle w:val="Compact"/>
      </w:pPr>
      <w:r>
        <w:rPr>
          <w:bCs/>
          <w:b/>
        </w:rPr>
        <w:t xml:space="preserve">Sustainability Integration:</w:t>
      </w:r>
      <w:r>
        <w:t xml:space="preserve"> </w:t>
      </w:r>
      <w:r>
        <w:t xml:space="preserve">Aligning offerings with Spain's new Green Deal requirements, positioning our solutions as carbon-neutral business enablers—addressing a growing 42% of Madrid enterprise procurement criteria.</w:t>
      </w:r>
    </w:p>
    <w:bookmarkEnd w:id="25"/>
    <w:bookmarkStart w:id="26" w:name="conclusion"/>
    <w:p>
      <w:pPr>
        <w:pStyle w:val="Heading2"/>
      </w:pPr>
      <w:r>
        <w:t xml:space="preserve">Conclusion</w:t>
      </w:r>
    </w:p>
    <w:p>
      <w:pPr>
        <w:pStyle w:val="FirstParagraph"/>
      </w:pPr>
      <w:r>
        <w:t xml:space="preserve">This Sales Report unequivocally demonstrates the Spain Madrid market's exceptional performance under our Sales Executive leadership. The region has become a model for our European operations, achieving 14.7% YoY growth while maintaining industry-leading client retention at 93.5%. Our strategic focus on local market intelligence, cultural alignment, and tailored value delivery has positioned us to capture significant share in Madrid's evolving enterprise landscape.</w:t>
      </w:r>
    </w:p>
    <w:p>
      <w:pPr>
        <w:pStyle w:val="BodyText"/>
      </w:pPr>
      <w:r>
        <w:t xml:space="preserve">As the Sales Executive responsible for this high-impact territory, I remain committed to driving further innovation within Spain Madrid. The success of our Q3 initiatives provides a robust foundation for exceeding 2023 annual targets by 18%, with particular emphasis on expanding our footprint in the Madrid metropolitan area's rapidly growing tech cluster.</w:t>
      </w:r>
    </w:p>
    <w:p>
      <w:pPr>
        <w:pStyle w:val="BodyText"/>
      </w:pPr>
      <w:r>
        <w:t xml:space="preserve">For ongoing strategic alignment, all Sales Executive teams across Spain must prioritize Madrid as the regional growth engine. This Sales Report confirms that when executed with local market expertise—exemplified by our Spain Madrid team—the highest returns on sales investment are consistently achieved. We will continue to refine our approach in this critical territory to maintain its position as a global benchmark for sales excellence.</w:t>
      </w:r>
    </w:p>
    <w:p>
      <w:pPr>
        <w:pStyle w:val="BodyText"/>
      </w:pPr>
      <w:r>
        <w:rPr>
          <w:bCs/>
          <w:b/>
        </w:rPr>
        <w:t xml:space="preserve">Sales Executive Team</w:t>
      </w:r>
      <w:r>
        <w:br/>
      </w:r>
      <w:r>
        <w:t xml:space="preserve">Spain Madrid Operations</w:t>
      </w:r>
      <w:r>
        <w:br/>
      </w:r>
      <w:r>
        <w:t xml:space="preserve">Company Name | Contact: sales.madrid@company.com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Madrid Operations</dc:title>
  <dc:creator/>
  <dc:language>en</dc:language>
  <cp:keywords/>
  <dcterms:created xsi:type="dcterms:W3CDTF">2025-12-11T14:25:48Z</dcterms:created>
  <dcterms:modified xsi:type="dcterms:W3CDTF">2025-12-11T14:25:48Z</dcterms:modified>
</cp:coreProperties>
</file>

<file path=docProps/custom.xml><?xml version="1.0" encoding="utf-8"?>
<Properties xmlns="http://schemas.openxmlformats.org/officeDocument/2006/custom-properties" xmlns:vt="http://schemas.openxmlformats.org/officeDocument/2006/docPropsVTypes"/>
</file>