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Performance</w:t>
      </w:r>
    </w:p>
    <w:bookmarkStart w:id="29" w:name="X89532690e0d2954e73ece180079d32901e94212"/>
    <w:p>
      <w:pPr>
        <w:pStyle w:val="Heading1"/>
      </w:pPr>
      <w:r>
        <w:t xml:space="preserve">Sales Executive Performance Report: United Kingdom London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United Kingdom Operations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key Sales Executive operating within the dynamic United Kingdom London market. As the economic hub of Great Britain, London represents a critical territory requiring specialized sales strategies and market acumen. The report confirms that our dedicated Sales Executive achieved exceptional results during Q3 2023, exceeding targets by 18% while navigating post-pandemic recovery challenges in the United Kingdom's most competitive commercial environment.</w:t>
      </w:r>
    </w:p>
    <w:bookmarkEnd w:id="20"/>
    <w:bookmarkStart w:id="21" w:name="X33e7850db853ea60dbe6da71cd3c4748ddd50df"/>
    <w:p>
      <w:pPr>
        <w:pStyle w:val="Heading2"/>
      </w:pPr>
      <w:r>
        <w:t xml:space="preserve">London Market Context: United Kingdom's Commercial Epicenter</w:t>
      </w:r>
    </w:p>
    <w:p>
      <w:pPr>
        <w:pStyle w:val="FirstParagraph"/>
      </w:pPr>
      <w:r>
        <w:t xml:space="preserve">London continues to be the undisputed commercial heart of the United Kingdom, contributing over 20% of national GDP and housing 13% of all UK businesses. The Sales Executive's territory encompasses six key boroughs (Westminster, City of London, Camden, Islington, Southwark, and Lambeth), representing diverse business ecosystems from financial services in the Square Mile to creative industries in Shoreditch. This complex market demands nuanced approaches—particularly after Brexit-related trade adjustments impacted 74% of local SMEs according to recent UK government data.</w:t>
      </w:r>
    </w:p>
    <w:p>
      <w:pPr>
        <w:pStyle w:val="BodyText"/>
      </w:pPr>
      <w:r>
        <w:t xml:space="preserve">As a Sales Executive operating within United Kingdom London, success requires understanding both macroeconomic trends and hyperlocal business needs. The current landscape features heightened competition from multinational firms expanding into London's tech sector, combined with increased client expectations for digital-first sales engagement—a reality our Sales Executive has proactively addressed through tailored solution architecture.</w:t>
      </w:r>
    </w:p>
    <w:bookmarkEnd w:id="21"/>
    <w:bookmarkStart w:id="22" w:name="performance-highlights-q3-2023-results"/>
    <w:p>
      <w:pPr>
        <w:pStyle w:val="Heading2"/>
      </w:pPr>
      <w:r>
        <w:t xml:space="preserve">Performance Highlights: Q3 2023 Results</w:t>
      </w:r>
    </w:p>
    <w:p>
      <w:pPr>
        <w:pStyle w:val="FirstParagraph"/>
      </w:pPr>
      <w:r>
        <w:rPr>
          <w:bCs/>
          <w:b/>
        </w:rPr>
        <w:t xml:space="preserve">Revenue Achievement:</w:t>
      </w:r>
      <w:r>
        <w:t xml:space="preserve"> </w:t>
      </w:r>
      <w:r>
        <w:t xml:space="preserve">£1.48M vs. Target £1.25M (18% overachievement)</w:t>
      </w:r>
      <w:r>
        <w:br/>
      </w:r>
      <w:r>
        <w:rPr>
          <w:bCs/>
          <w:b/>
        </w:rPr>
        <w:t xml:space="preserve">New Client Acquisition:</w:t>
      </w:r>
      <w:r>
        <w:t xml:space="preserve"> </w:t>
      </w:r>
      <w:r>
        <w:t xml:space="preserve">47 new enterprise clients (+32% YoY in London market)</w:t>
      </w:r>
      <w:r>
        <w:br/>
      </w:r>
      <w:r>
        <w:rPr>
          <w:bCs/>
          <w:b/>
        </w:rPr>
        <w:t xml:space="preserve">Cross-Sell Rate:</w:t>
      </w:r>
      <w:r>
        <w:t xml:space="preserve"> </w:t>
      </w:r>
      <w:r>
        <w:t xml:space="preserve">68% (vs. regional average of 52%)</w:t>
      </w:r>
      <w:r>
        <w:br/>
      </w:r>
      <w:r>
        <w:rPr>
          <w:bCs/>
          <w:b/>
        </w:rPr>
        <w:t xml:space="preserve">Client Retention:</w:t>
      </w:r>
      <w:r>
        <w:t xml:space="preserve"> </w:t>
      </w:r>
      <w:r>
        <w:t xml:space="preserve">94% (exceeding target by 17 points)</w:t>
      </w:r>
    </w:p>
    <w:p>
      <w:pPr>
        <w:pStyle w:val="BodyText"/>
      </w:pPr>
      <w:r>
        <w:t xml:space="preserve">The Sales Executive secured three landmark contracts in Q3 including a £450K enterprise deal with a major London-based financial services firm and two £220K healthcare technology implementations in NHS trusts across Southwark. These victories demonstrate exceptional market penetration within United Kingdom London's highly selective corporate sector.</w:t>
      </w:r>
    </w:p>
    <w:bookmarkEnd w:id="22"/>
    <w:bookmarkStart w:id="23" w:name="strategic-initiatives-driving-success"/>
    <w:p>
      <w:pPr>
        <w:pStyle w:val="Heading2"/>
      </w:pPr>
      <w:r>
        <w:t xml:space="preserve">Strategic Initiatives Driving Success</w:t>
      </w:r>
    </w:p>
    <w:p>
      <w:pPr>
        <w:pStyle w:val="FirstParagraph"/>
      </w:pPr>
      <w:r>
        <w:t xml:space="preserve">Our Sales Executive implemented three pivotal strategies specifically designed for the United Kingdom London context:</w:t>
      </w:r>
    </w:p>
    <w:p>
      <w:pPr>
        <w:numPr>
          <w:ilvl w:val="0"/>
          <w:numId w:val="1001"/>
        </w:numPr>
        <w:pStyle w:val="Compact"/>
      </w:pPr>
      <w:r>
        <w:rPr>
          <w:bCs/>
          <w:b/>
        </w:rPr>
        <w:t xml:space="preserve">Hyperlocal Market Intelligence:</w:t>
      </w:r>
      <w:r>
        <w:t xml:space="preserve"> </w:t>
      </w:r>
      <w:r>
        <w:t xml:space="preserve">Developed borough-specific competitor analysis, identifying that 63% of lost deals in Westminster were due to inadequate understanding of local regulatory nuances (e.g., GDPR compliance requirements unique to London financial institutions).</w:t>
      </w:r>
    </w:p>
    <w:p>
      <w:pPr>
        <w:numPr>
          <w:ilvl w:val="0"/>
          <w:numId w:val="1001"/>
        </w:numPr>
        <w:pStyle w:val="Compact"/>
      </w:pPr>
      <w:r>
        <w:rPr>
          <w:bCs/>
          <w:b/>
        </w:rPr>
        <w:t xml:space="preserve">Digital Engagement Transformation:</w:t>
      </w:r>
      <w:r>
        <w:t xml:space="preserve"> </w:t>
      </w:r>
      <w:r>
        <w:t xml:space="preserve">Replaced traditional cold calling with LinkedIn Sales Navigator and targeted virtual briefings—resulting in a 40% increase in qualified lead conversion within London's time-sensitive corporate environment.</w:t>
      </w:r>
    </w:p>
    <w:p>
      <w:pPr>
        <w:numPr>
          <w:ilvl w:val="0"/>
          <w:numId w:val="1001"/>
        </w:numPr>
        <w:pStyle w:val="Compact"/>
      </w:pPr>
      <w:r>
        <w:rPr>
          <w:bCs/>
          <w:b/>
        </w:rPr>
        <w:t xml:space="preserve">Partnership Ecosystem Development:</w:t>
      </w:r>
      <w:r>
        <w:t xml:space="preserve"> </w:t>
      </w:r>
      <w:r>
        <w:t xml:space="preserve">Forged strategic alliances with key London business associations (including the City of London Corporation and TechCity UK) to co-host sector-specific roundtables, generating 23 new qualified opportunities in Q3 alone.</w:t>
      </w:r>
    </w:p>
    <w:bookmarkEnd w:id="23"/>
    <w:bookmarkStart w:id="24" w:name="market-challenges-adaptive-strategies"/>
    <w:p>
      <w:pPr>
        <w:pStyle w:val="Heading2"/>
      </w:pPr>
      <w:r>
        <w:t xml:space="preserve">Market Challenges &amp; Adaptive Strategies</w:t>
      </w:r>
    </w:p>
    <w:p>
      <w:pPr>
        <w:pStyle w:val="FirstParagraph"/>
      </w:pPr>
      <w:r>
        <w:t xml:space="preserve">The United Kingdom London market presented three significant challenges during the reporting period:</w:t>
      </w:r>
    </w:p>
    <w:p>
      <w:pPr>
        <w:numPr>
          <w:ilvl w:val="0"/>
          <w:numId w:val="1002"/>
        </w:numPr>
        <w:pStyle w:val="Compact"/>
      </w:pPr>
      <w:r>
        <w:rPr>
          <w:bCs/>
          <w:b/>
        </w:rPr>
        <w:t xml:space="preserve">Economic Uncertainty:</w:t>
      </w:r>
      <w:r>
        <w:t xml:space="preserve"> </w:t>
      </w:r>
      <w:r>
        <w:t xml:space="preserve">Despite London's resilience, 58% of clients deferred non-essential spending. The Sales Executive countered by developing flexible payment terms and value-based pricing models, securing 12 renewal contracts that would have otherwise been delayed.</w:t>
      </w:r>
    </w:p>
    <w:p>
      <w:pPr>
        <w:numPr>
          <w:ilvl w:val="0"/>
          <w:numId w:val="1002"/>
        </w:numPr>
        <w:pStyle w:val="Compact"/>
      </w:pPr>
      <w:r>
        <w:rPr>
          <w:bCs/>
          <w:b/>
        </w:rPr>
        <w:t xml:space="preserve">Talent Competition:</w:t>
      </w:r>
      <w:r>
        <w:t xml:space="preserve"> </w:t>
      </w:r>
      <w:r>
        <w:t xml:space="preserve">London's talent market saw a 31% increase in sales role competition from global firms. Our Sales Executive addressed this through personalized client relationship management—conducting quarterly business health reviews that elevated perceived value beyond transactional interactions.</w:t>
      </w:r>
    </w:p>
    <w:bookmarkEnd w:id="24"/>
    <w:bookmarkStart w:id="25" w:name="client-feedback-market-perception"/>
    <w:p>
      <w:pPr>
        <w:pStyle w:val="Heading2"/>
      </w:pPr>
      <w:r>
        <w:t xml:space="preserve">Client Feedback &amp; Market Perception</w:t>
      </w:r>
    </w:p>
    <w:p>
      <w:pPr>
        <w:pStyle w:val="FirstParagraph"/>
      </w:pPr>
      <w:r>
        <w:t xml:space="preserve">Sentiment analysis from London client interactions revealed our Sales Executive's exceptional market positioning. A recent survey of 37 key accounts showed:</w:t>
      </w:r>
    </w:p>
    <w:p>
      <w:pPr>
        <w:numPr>
          <w:ilvl w:val="0"/>
          <w:numId w:val="1003"/>
        </w:numPr>
        <w:pStyle w:val="Compact"/>
      </w:pPr>
      <w:r>
        <w:t xml:space="preserve">92% rated "understanding of London business culture" as "excellent"</w:t>
      </w:r>
    </w:p>
    <w:p>
      <w:pPr>
        <w:numPr>
          <w:ilvl w:val="0"/>
          <w:numId w:val="1003"/>
        </w:numPr>
        <w:pStyle w:val="Compact"/>
      </w:pPr>
      <w:r>
        <w:t xml:space="preserve">88% cited the executive's ability to navigate complex UK regulatory environments as a decisive factor in purchase decisions</w:t>
      </w:r>
    </w:p>
    <w:p>
      <w:pPr>
        <w:numPr>
          <w:ilvl w:val="0"/>
          <w:numId w:val="1003"/>
        </w:numPr>
        <w:pStyle w:val="Compact"/>
      </w:pPr>
      <w:r>
        <w:t xml:space="preserve">76% expressed willingness to refer the Sales Executive to other London-based organizations</w:t>
      </w:r>
    </w:p>
    <w:p>
      <w:pPr>
        <w:pStyle w:val="FirstParagraph"/>
      </w:pPr>
      <w:r>
        <w:t xml:space="preserve">Notably, multiple clients specifically referenced the executive's deep knowledge of United Kingdom London-specific compliance frameworks (including FCA regulations for financial services) as critical differentiators in competitive bids.</w:t>
      </w:r>
    </w:p>
    <w:bookmarkEnd w:id="25"/>
    <w:bookmarkStart w:id="26" w:name="competitive-positioning-analysis"/>
    <w:p>
      <w:pPr>
        <w:pStyle w:val="Heading2"/>
      </w:pPr>
      <w:r>
        <w:t xml:space="preserve">Competitive Positioning Analysis</w:t>
      </w:r>
    </w:p>
    <w:p>
      <w:pPr>
        <w:pStyle w:val="FirstParagraph"/>
      </w:pPr>
      <w:r>
        <w:t xml:space="preserve">In the fiercely contested United Kingdom London market, our Sales Executive has established clear differentiation:</w:t>
      </w:r>
    </w:p>
    <w:p>
      <w:pPr>
        <w:pStyle w:val="BodyText"/>
      </w:pPr>
      <w:r>
        <w:t xml:space="preserve">Competitor</w:t>
      </w:r>
    </w:p>
    <w:p>
      <w:pPr>
        <w:pStyle w:val="BodyText"/>
      </w:pPr>
      <w:r>
        <w:t xml:space="preserve">London Market Share (Q3)</w:t>
      </w:r>
    </w:p>
    <w:p>
      <w:pPr>
        <w:pStyle w:val="BodyText"/>
      </w:pPr>
      <w:r>
        <w:t xml:space="preserve">Sales Executive Performance</w:t>
      </w:r>
    </w:p>
    <w:p>
      <w:pPr>
        <w:pStyle w:val="BodyText"/>
      </w:pPr>
      <w:r>
        <w:t xml:space="preserve">Firm A (Global Tech)</w:t>
      </w:r>
    </w:p>
    <w:p>
      <w:pPr>
        <w:pStyle w:val="BodyText"/>
      </w:pPr>
      <w:r>
        <w:t xml:space="preserve">24.7%</w:t>
      </w:r>
    </w:p>
    <w:p>
      <w:pPr>
        <w:pStyle w:val="BodyText"/>
      </w:pPr>
      <w:r>
        <w:t xml:space="preserve">+19% YoY growth in London</w:t>
      </w:r>
    </w:p>
    <w:p>
      <w:pPr>
        <w:pStyle w:val="BodyText"/>
      </w:pPr>
      <w:r>
        <w:t xml:space="preserve">Firm B (Local Competitor)</w:t>
      </w:r>
    </w:p>
    <w:p>
      <w:pPr>
        <w:pStyle w:val="BodyText"/>
      </w:pPr>
      <w:r>
        <w:t xml:space="preserve">18.3%</w:t>
      </w:r>
    </w:p>
    <w:p>
      <w:pPr>
        <w:pStyle w:val="BodyText"/>
      </w:pPr>
      <w:r>
        <w:t xml:space="preserve">+27% YoY growth in London</w:t>
      </w:r>
    </w:p>
    <w:p>
      <w:pPr>
        <w:pStyle w:val="BodyText"/>
      </w:pPr>
      <w:r>
        <w:t xml:space="preserve">Our Company</w:t>
      </w:r>
    </w:p>
    <w:p>
      <w:pPr>
        <w:pStyle w:val="BodyText"/>
      </w:pPr>
      <w:r>
        <w:t xml:space="preserve">29.6%</w:t>
      </w:r>
    </w:p>
    <w:p>
      <w:pPr>
        <w:pStyle w:val="BodyText"/>
      </w:pPr>
      <w:r>
        <w:rPr>
          <w:bCs/>
          <w:b/>
        </w:rPr>
        <w:t xml:space="preserve">+34% YoY growth in London</w:t>
      </w:r>
    </w:p>
    <w:p>
      <w:pPr>
        <w:pStyle w:val="BodyText"/>
      </w:pPr>
      <w:r>
        <w:t xml:space="preserve">This data confirms our Sales Executive's leadership position in the United Kingdom London market, with performance outpacing competitors by 10-15 percentage points across key metrics.</w:t>
      </w:r>
    </w:p>
    <w:bookmarkEnd w:id="26"/>
    <w:bookmarkStart w:id="27" w:name="recommendations-for-future-growth"/>
    <w:p>
      <w:pPr>
        <w:pStyle w:val="Heading2"/>
      </w:pPr>
      <w:r>
        <w:t xml:space="preserve">Recommendations for Future Growth</w:t>
      </w:r>
    </w:p>
    <w:p>
      <w:pPr>
        <w:pStyle w:val="FirstParagraph"/>
      </w:pPr>
      <w:r>
        <w:t xml:space="preserve">To sustain this momentum within the United Kingdom London territory, we recommend:</w:t>
      </w:r>
    </w:p>
    <w:p>
      <w:pPr>
        <w:numPr>
          <w:ilvl w:val="0"/>
          <w:numId w:val="1004"/>
        </w:numPr>
        <w:pStyle w:val="Compact"/>
      </w:pPr>
      <w:r>
        <w:rPr>
          <w:bCs/>
          <w:b/>
        </w:rPr>
        <w:t xml:space="preserve">Expansion into Emerging London Sectors:</w:t>
      </w:r>
      <w:r>
        <w:t xml:space="preserve"> </w:t>
      </w:r>
      <w:r>
        <w:t xml:space="preserve">Targeting growth in the £18.7B London fintech ecosystem (up 42% YoY), particularly for AI-driven solutions aligned with UK's Financial Services Accelerator program.</w:t>
      </w:r>
    </w:p>
    <w:p>
      <w:pPr>
        <w:numPr>
          <w:ilvl w:val="0"/>
          <w:numId w:val="1004"/>
        </w:numPr>
        <w:pStyle w:val="Compact"/>
      </w:pPr>
      <w:r>
        <w:rPr>
          <w:bCs/>
          <w:b/>
        </w:rPr>
        <w:t xml:space="preserve">Sales Executive Leadership Development:</w:t>
      </w:r>
      <w:r>
        <w:t xml:space="preserve"> </w:t>
      </w:r>
      <w:r>
        <w:t xml:space="preserve">Promoting to Senior Sales Manager role to mentor junior executives across the UK, leveraging their London market expertise as a regional template.</w:t>
      </w:r>
    </w:p>
    <w:p>
      <w:pPr>
        <w:numPr>
          <w:ilvl w:val="0"/>
          <w:numId w:val="1004"/>
        </w:numPr>
        <w:pStyle w:val="Compact"/>
      </w:pPr>
      <w:r>
        <w:rPr>
          <w:bCs/>
          <w:b/>
        </w:rPr>
        <w:t xml:space="preserve">London-Specific Product Innovation:</w:t>
      </w:r>
      <w:r>
        <w:t xml:space="preserve"> </w:t>
      </w:r>
      <w:r>
        <w:t xml:space="preserve">Developing a dedicated "City of London Compliance Suite" based on insights from 47 client interactions during Q3.</w:t>
      </w:r>
    </w:p>
    <w:bookmarkEnd w:id="27"/>
    <w:bookmarkStart w:id="28" w:name="conclusion"/>
    <w:p>
      <w:pPr>
        <w:pStyle w:val="Heading2"/>
      </w:pPr>
      <w:r>
        <w:t xml:space="preserve">Conclusion</w:t>
      </w:r>
    </w:p>
    <w:p>
      <w:pPr>
        <w:pStyle w:val="FirstParagraph"/>
      </w:pPr>
      <w:r>
        <w:t xml:space="preserve">This Sales Report conclusively demonstrates the exceptional value delivered by our Sales Executive within the United Kingdom London market. The combination of deep local market intelligence, adaptive sales methodologies, and relationship-centric approach has positioned us as a leader in one of the world's most demanding commercial environments. The 18% revenue overachievement—while navigating complex post-Brexit trade dynamics—proves that strategic expertise tailored to London's unique business ecosystem is not merely advantageous but essential for success.</w:t>
      </w:r>
    </w:p>
    <w:p>
      <w:pPr>
        <w:pStyle w:val="BodyText"/>
      </w:pPr>
      <w:r>
        <w:t xml:space="preserve">As we enter Q4, the Sales Executive will focus on scaling these proven methodologies across additional United Kingdom cities while maintaining their core London market dominance. The data presented in this report provides irrefutable evidence that investing in specialized sales talent for the United Kingdom London territory yields disproportionate returns, directly contributing to our company's strategic growth objectives within Britain's economic capital.</w:t>
      </w:r>
    </w:p>
    <w:p>
      <w:pPr>
        <w:pStyle w:val="BodyText"/>
      </w:pPr>
      <w:r>
        <w:rPr>
          <w:bCs/>
          <w:b/>
        </w:rPr>
        <w:t xml:space="preserve">Prepared By:</w:t>
      </w:r>
      <w:r>
        <w:t xml:space="preserve"> </w:t>
      </w:r>
      <w:r>
        <w:t xml:space="preserve">Regional Sales Analytics Team</w:t>
      </w:r>
      <w:r>
        <w:br/>
      </w:r>
      <w:r>
        <w:rPr>
          <w:bCs/>
          <w:b/>
        </w:rPr>
        <w:t xml:space="preserve">Authorized Signature:</w:t>
      </w:r>
      <w:r>
        <w:t xml:space="preserve"> </w:t>
      </w:r>
      <w:r>
        <w:t xml:space="preserve">[Digital Signature]</w:t>
      </w:r>
      <w:r>
        <w:br/>
      </w:r>
      <w:r>
        <w:rPr>
          <w:iCs/>
          <w:i/>
        </w:rPr>
        <w:t xml:space="preserve">This Sales Report complies with UK Corporate Governance Standards (Section 172 Companies Act 2006) and has been reviewed by the London Market Intelligence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United Kingdom London Market Performance</dc:title>
  <dc:creator/>
  <dc:language>en</dc:language>
  <cp:keywords/>
  <dcterms:created xsi:type="dcterms:W3CDTF">2026-07-24T06:32:25Z</dcterms:created>
  <dcterms:modified xsi:type="dcterms:W3CDTF">2026-07-24T06:32:25Z</dcterms:modified>
</cp:coreProperties>
</file>

<file path=docProps/custom.xml><?xml version="1.0" encoding="utf-8"?>
<Properties xmlns="http://schemas.openxmlformats.org/officeDocument/2006/custom-properties" xmlns:vt="http://schemas.openxmlformats.org/officeDocument/2006/docPropsVTypes"/>
</file>