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p>
    <w:bookmarkStart w:id="26" w:name="Xbd9ae4350f7ce1210c777457653aa8c946f7596"/>
    <w:p>
      <w:pPr>
        <w:pStyle w:val="Heading1"/>
      </w:pPr>
      <w:r>
        <w:t xml:space="preserve">Q3 2024 Sales Executive Performance Report: United States Miami Market</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across the United States Miami market during Q3 2024. The report demonstrates significant growth in key segments, strategic market penetration, and actionable insights for continued expansion. As the premier Sales Executive hub for Southeast Florida operations, Miami has delivered outstanding results that position us for record-breaking performance in Q4. Our Sales Executive team exceeded quarterly targets by 17%, achieving $8.2M in revenue compared to the $7.0M forecasted goal.</w:t>
      </w:r>
    </w:p>
    <w:p>
      <w:pPr>
        <w:pStyle w:val="BodyText"/>
      </w:pPr>
      <w:r>
        <w:rPr>
          <w:bCs/>
          <w:b/>
        </w:rPr>
        <w:t xml:space="preserve">Key Achievement:</w:t>
      </w:r>
      <w:r>
        <w:t xml:space="preserve"> </w:t>
      </w:r>
      <w:r>
        <w:t xml:space="preserve">For the first time in company history, our Sales Executive team in United States Miami closed three multi-million-dollar enterprise contracts within a 60-day period, establishing Miami as the fastest-growing sales territory in our national portfolio.</w:t>
      </w:r>
    </w:p>
    <w:bookmarkEnd w:id="20"/>
    <w:bookmarkStart w:id="21" w:name="X83edd9c8f92ee9f2070ac43b99e723abefac5f0"/>
    <w:p>
      <w:pPr>
        <w:pStyle w:val="Heading2"/>
      </w:pPr>
      <w:r>
        <w:t xml:space="preserve">Performance Metrics: Q3 2024 - United States Miami</w:t>
      </w:r>
    </w:p>
    <w:p>
      <w:pPr>
        <w:pStyle w:val="FirstParagraph"/>
      </w:pPr>
      <w:r>
        <w:t xml:space="preserve">The following table outlines critical performance indicators for our Sales Executive team operating within the United States Miami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2024 Actual</w:t>
            </w:r>
          </w:p>
        </w:tc>
        <w:tc>
          <w:tcPr/>
          <w:p>
            <w:pPr>
              <w:pStyle w:val="Compact"/>
              <w:jc w:val="left"/>
            </w:pPr>
            <w:r>
              <w:t xml:space="preserve">Q2 2024 Actual</w:t>
            </w:r>
          </w:p>
        </w:tc>
        <w:tc>
          <w:tcPr/>
          <w:p>
            <w:pPr>
              <w:pStyle w:val="Compact"/>
              <w:jc w:val="left"/>
            </w:pPr>
            <w:r>
              <w:t xml:space="preserve">% Change</w:t>
            </w:r>
          </w:p>
        </w:tc>
        <w:tc>
          <w:tcPr/>
          <w:p>
            <w:pPr>
              <w:pStyle w:val="Compact"/>
              <w:jc w:val="left"/>
            </w:pPr>
            <w:r>
              <w:t xml:space="preserve">Quarterly Target</w:t>
            </w:r>
          </w:p>
        </w:tc>
      </w:tr>
      <w:tr>
        <w:tc>
          <w:tcPr/>
          <w:p>
            <w:pPr>
              <w:pStyle w:val="Compact"/>
              <w:jc w:val="left"/>
            </w:pPr>
            <w:r>
              <w:t xml:space="preserve">Total Revenue Generated</w:t>
            </w:r>
          </w:p>
        </w:tc>
        <w:tc>
          <w:tcPr/>
          <w:p>
            <w:pPr>
              <w:pStyle w:val="Compact"/>
              <w:jc w:val="left"/>
            </w:pPr>
            <w:r>
              <w:t xml:space="preserve">$8,215,300</w:t>
            </w:r>
          </w:p>
        </w:tc>
        <w:tc>
          <w:tcPr/>
          <w:p>
            <w:pPr>
              <w:pStyle w:val="Compact"/>
              <w:jc w:val="left"/>
            </w:pPr>
            <w:r>
              <w:t xml:space="preserve">$6,942,100</w:t>
            </w:r>
          </w:p>
        </w:tc>
        <w:tc>
          <w:tcPr/>
          <w:p>
            <w:pPr>
              <w:pStyle w:val="Compact"/>
              <w:jc w:val="left"/>
            </w:pPr>
            <w:r>
              <w:t xml:space="preserve">+18.3%</w:t>
            </w:r>
          </w:p>
        </w:tc>
        <w:tc>
          <w:tcPr/>
          <w:p>
            <w:pPr>
              <w:pStyle w:val="Compact"/>
              <w:jc w:val="left"/>
            </w:pPr>
            <w:r>
              <w:t xml:space="preserve">$7,000,000</w:t>
            </w:r>
          </w:p>
        </w:tc>
      </w:tr>
      <w:tr>
        <w:tc>
          <w:tcPr/>
          <w:p>
            <w:pPr>
              <w:pStyle w:val="Compact"/>
              <w:jc w:val="left"/>
            </w:pPr>
            <w:r>
              <w:t xml:space="preserve">Lead Conversion Rate</w:t>
            </w:r>
          </w:p>
        </w:tc>
        <w:tc>
          <w:tcPr/>
          <w:p>
            <w:pPr>
              <w:pStyle w:val="Compact"/>
              <w:jc w:val="left"/>
            </w:pPr>
            <w:r>
              <w:t xml:space="preserve">34.7%</w:t>
            </w:r>
          </w:p>
        </w:tc>
        <w:tc>
          <w:tcPr/>
          <w:p>
            <w:pPr>
              <w:pStyle w:val="Compact"/>
              <w:jc w:val="left"/>
            </w:pPr>
            <w:r>
              <w:t xml:space="preserve">28.5%</w:t>
            </w:r>
          </w:p>
        </w:tc>
        <w:tc>
          <w:tcPr/>
          <w:p>
            <w:pPr>
              <w:pStyle w:val="Compact"/>
              <w:jc w:val="left"/>
            </w:pPr>
            <w:r>
              <w:t xml:space="preserve">+6.2 pts</w:t>
            </w:r>
          </w:p>
        </w:tc>
        <w:tc>
          <w:tcPr/>
          <w:p>
            <w:pPr>
              <w:pStyle w:val="Compact"/>
              <w:jc w:val="left"/>
            </w:pPr>
            <w:r>
              <w:t xml:space="preserve">29%</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39 clients</w:t>
            </w:r>
          </w:p>
        </w:tc>
        <w:tc>
          <w:tcPr/>
          <w:p>
            <w:pPr>
              <w:pStyle w:val="Compact"/>
              <w:jc w:val="left"/>
            </w:pPr>
            <w:r>
              <w:t xml:space="preserve">+8.0 (20.5%)</w:t>
            </w:r>
          </w:p>
        </w:tc>
        <w:tc>
          <w:tcPr/>
          <w:p>
            <w:pPr>
              <w:pStyle w:val="Compact"/>
              <w:jc w:val="left"/>
            </w:pPr>
            <w:r>
              <w:t xml:space="preserve">40 clients</w:t>
            </w:r>
          </w:p>
        </w:tc>
      </w:tr>
      <w:tr>
        <w:tc>
          <w:tcPr/>
          <w:p>
            <w:pPr>
              <w:pStyle w:val="Compact"/>
              <w:jc w:val="left"/>
            </w:pPr>
            <w:r>
              <w:t xml:space="preserve">Cross-Sell Revenue</w:t>
            </w:r>
          </w:p>
        </w:tc>
        <w:tc>
          <w:tcPr/>
          <w:p>
            <w:pPr>
              <w:pStyle w:val="Compact"/>
              <w:jc w:val="left"/>
            </w:pPr>
            <w:r>
              <w:t xml:space="preserve">$1,857,200</w:t>
            </w:r>
          </w:p>
        </w:tc>
        <w:tc>
          <w:tcPr/>
          <w:p>
            <w:pPr>
              <w:pStyle w:val="Compact"/>
              <w:jc w:val="left"/>
            </w:pPr>
            <w:r>
              <w:t xml:space="preserve">$1,429,600</w:t>
            </w:r>
          </w:p>
        </w:tc>
        <w:tc>
          <w:tcPr/>
          <w:p>
            <w:pPr>
              <w:pStyle w:val="Compact"/>
              <w:jc w:val="left"/>
            </w:pPr>
            <w:r>
              <w:t xml:space="preserve">+30.7%</w:t>
            </w:r>
          </w:p>
        </w:tc>
        <w:tc>
          <w:tcPr/>
          <w:p>
            <w:pPr>
              <w:pStyle w:val="Compact"/>
              <w:jc w:val="left"/>
            </w:pPr>
            <w:r>
              <w:t xml:space="preserve">$1,650,000</w:t>
            </w:r>
          </w:p>
        </w:tc>
      </w:tr>
      <w:tr>
        <w:tc>
          <w:tcPr/>
          <w:p>
            <w:pPr>
              <w:pStyle w:val="Compact"/>
              <w:jc w:val="left"/>
            </w:pPr>
            <w:r>
              <w:t xml:space="preserve">Client Retention Rate</w:t>
            </w:r>
          </w:p>
        </w:tc>
        <w:tc>
          <w:tcPr/>
          <w:p>
            <w:pPr>
              <w:pStyle w:val="Compact"/>
              <w:jc w:val="left"/>
            </w:pPr>
            <w:r>
              <w:t xml:space="preserve">94.2%</w:t>
            </w:r>
          </w:p>
        </w:tc>
        <w:tc>
          <w:tcPr/>
          <w:p>
            <w:pPr>
              <w:pStyle w:val="Compact"/>
              <w:jc w:val="left"/>
            </w:pPr>
            <w:r>
              <w:t xml:space="preserve">88.7%</w:t>
            </w:r>
          </w:p>
        </w:tc>
        <w:tc>
          <w:tcPr/>
          <w:p>
            <w:pPr>
              <w:pStyle w:val="Compact"/>
              <w:jc w:val="left"/>
            </w:pPr>
            <w:r>
              <w:t xml:space="preserve">+5.5 pts</w:t>
            </w:r>
          </w:p>
        </w:tc>
        <w:tc>
          <w:tcPr/>
          <w:p>
            <w:pPr>
              <w:pStyle w:val="Compact"/>
              <w:jc w:val="left"/>
            </w:pPr>
            <w:r>
              <w:t xml:space="preserve">92.5%</w:t>
            </w:r>
          </w:p>
        </w:tc>
      </w:tr>
    </w:tbl>
    <w:p>
      <w:pPr>
        <w:pStyle w:val="BodyText"/>
      </w:pPr>
      <w:r>
        <w:t xml:space="preserve">The Sales Executive team in United States Miami achieved unprecedented performance by leveraging Miami's unique market dynamics, including the city's growing tech ecosystem and international business hub status. Our Sales Executive focus on high-value enterprise clients within the hospitality, fintech, and real estate sectors drove exceptional results.</w:t>
      </w:r>
    </w:p>
    <w:bookmarkEnd w:id="21"/>
    <w:bookmarkStart w:id="22" w:name="Xde7661f1bc10f2f00838bbf67727c46e31bee2c"/>
    <w:p>
      <w:pPr>
        <w:pStyle w:val="Heading2"/>
      </w:pPr>
      <w:r>
        <w:t xml:space="preserve">Market Analysis: United States Miami Dynamics</w:t>
      </w:r>
    </w:p>
    <w:p>
      <w:pPr>
        <w:pStyle w:val="FirstParagraph"/>
      </w:pPr>
      <w:r>
        <w:t xml:space="preserve">As the economic heart of South Florida, United States Miami presents distinct opportunities that our Sales Executive team has strategically capitalized on. The Q3 market landscape revealed three critical trends:</w:t>
      </w:r>
    </w:p>
    <w:p>
      <w:pPr>
        <w:numPr>
          <w:ilvl w:val="0"/>
          <w:numId w:val="1001"/>
        </w:numPr>
        <w:pStyle w:val="Compact"/>
      </w:pPr>
      <w:r>
        <w:rPr>
          <w:bCs/>
          <w:b/>
        </w:rPr>
        <w:t xml:space="preserve">International Business Surge:</w:t>
      </w:r>
      <w:r>
        <w:t xml:space="preserve"> </w:t>
      </w:r>
      <w:r>
        <w:t xml:space="preserve">Miami's role as a gateway to Latin America generated 38% of new deals from multinational clients, requiring our Sales Executive team to develop specialized bilingual sales strategies.</w:t>
      </w:r>
    </w:p>
    <w:p>
      <w:pPr>
        <w:numPr>
          <w:ilvl w:val="0"/>
          <w:numId w:val="1001"/>
        </w:numPr>
        <w:pStyle w:val="Compact"/>
      </w:pPr>
      <w:r>
        <w:rPr>
          <w:bCs/>
          <w:b/>
        </w:rPr>
        <w:t xml:space="preserve">Tech Expansion Acceleration:</w:t>
      </w:r>
      <w:r>
        <w:t xml:space="preserve"> </w:t>
      </w:r>
      <w:r>
        <w:t xml:space="preserve">The $5.2B influx in tech investments (per Miami Tech Alliance) led to 27 new enterprise opportunities, with our Sales Executive closing 14 contracts totaling $3.1M in software solutions.</w:t>
      </w:r>
    </w:p>
    <w:p>
      <w:pPr>
        <w:numPr>
          <w:ilvl w:val="0"/>
          <w:numId w:val="1001"/>
        </w:numPr>
        <w:pStyle w:val="Compact"/>
      </w:pPr>
      <w:r>
        <w:rPr>
          <w:bCs/>
          <w:b/>
        </w:rPr>
        <w:t xml:space="preserve">Real Estate Synergy:</w:t>
      </w:r>
      <w:r>
        <w:t xml:space="preserve"> </w:t>
      </w:r>
      <w:r>
        <w:t xml:space="preserve">Collaborating with top Miami real estate firms yielded 18 high-value contracts through bundled property management/sales technology packages.</w:t>
      </w:r>
    </w:p>
    <w:p>
      <w:pPr>
        <w:pStyle w:val="FirstParagraph"/>
      </w:pPr>
      <w:r>
        <w:t xml:space="preserve">The Sales Executive team implemented a hyper-localized approach by establishing permanent Miami office space within the Downtown Miami business district, allowing for rapid response to client needs. This strategic move reduced average sales cycle time by 22% compared to previous quarters.</w:t>
      </w:r>
    </w:p>
    <w:bookmarkEnd w:id="22"/>
    <w:bookmarkStart w:id="23" w:name="Xcc16f4b354ea271cc590df8e75c1a8180c12fda"/>
    <w:p>
      <w:pPr>
        <w:pStyle w:val="Heading2"/>
      </w:pPr>
      <w:r>
        <w:t xml:space="preserve">Strategic Initiatives &amp; Sales Executive Impact</w:t>
      </w:r>
    </w:p>
    <w:p>
      <w:pPr>
        <w:pStyle w:val="FirstParagraph"/>
      </w:pPr>
      <w:r>
        <w:t xml:space="preserve">Key initiatives executed by our Sales Executive team in United States Miami included:</w:t>
      </w:r>
    </w:p>
    <w:p>
      <w:pPr>
        <w:numPr>
          <w:ilvl w:val="0"/>
          <w:numId w:val="1002"/>
        </w:numPr>
        <w:pStyle w:val="Compact"/>
      </w:pPr>
      <w:r>
        <w:rPr>
          <w:bCs/>
          <w:b/>
        </w:rPr>
        <w:t xml:space="preserve">Miami Enterprise Roundtable:</w:t>
      </w:r>
      <w:r>
        <w:t xml:space="preserve"> </w:t>
      </w:r>
      <w:r>
        <w:t xml:space="preserve">Hosted quarterly executive forums attracting 150+ C-suite leaders, resulting in 32 qualified leads and $4.7M in pipeline development.</w:t>
      </w:r>
    </w:p>
    <w:p>
      <w:pPr>
        <w:numPr>
          <w:ilvl w:val="0"/>
          <w:numId w:val="1002"/>
        </w:numPr>
        <w:pStyle w:val="Compact"/>
      </w:pPr>
      <w:r>
        <w:rPr>
          <w:bCs/>
          <w:b/>
        </w:rPr>
        <w:t xml:space="preserve">Bilingual Sales Program:</w:t>
      </w:r>
      <w:r>
        <w:t xml:space="preserve"> </w:t>
      </w:r>
      <w:r>
        <w:t xml:space="preserve">Trained all Sales Executive personnel in Spanish/Portuguese, directly contributing to the 28% increase in Latin American client acquisition.</w:t>
      </w:r>
    </w:p>
    <w:p>
      <w:pPr>
        <w:numPr>
          <w:ilvl w:val="0"/>
          <w:numId w:val="1002"/>
        </w:numPr>
        <w:pStyle w:val="Compact"/>
      </w:pPr>
      <w:r>
        <w:rPr>
          <w:bCs/>
          <w:b/>
        </w:rPr>
        <w:t xml:space="preserve">Digital Transformation Workshops:</w:t>
      </w:r>
      <w:r>
        <w:t xml:space="preserve"> </w:t>
      </w:r>
      <w:r>
        <w:t xml:space="preserve">Partnered with Miami-Dade County Economic Development Corporation to deliver free industry-specific workshops, positioning our Sales Executive team as market thought leaders.</w:t>
      </w:r>
    </w:p>
    <w:p>
      <w:pPr>
        <w:pStyle w:val="FirstParagraph"/>
      </w:pPr>
      <w:r>
        <w:rPr>
          <w:bCs/>
          <w:b/>
        </w:rPr>
        <w:t xml:space="preserve">Sales Executive Spotlight:</w:t>
      </w:r>
      <w:r>
        <w:t xml:space="preserve"> </w:t>
      </w:r>
      <w:r>
        <w:t xml:space="preserve">Maria Chen (Senior Sales Executive) secured a landmark $2.1M contract with a major Miami-based hotel chain after implementing a customized solution addressing their specific Latin American guest management needs – the largest single deal in Miami history for our company.</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two key challenges emerged in United States Miami that require strategic attention:</w:t>
      </w:r>
    </w:p>
    <w:p>
      <w:pPr>
        <w:numPr>
          <w:ilvl w:val="0"/>
          <w:numId w:val="1003"/>
        </w:numPr>
        <w:pStyle w:val="Compact"/>
      </w:pPr>
      <w:r>
        <w:rPr>
          <w:bCs/>
          <w:b/>
        </w:rPr>
        <w:t xml:space="preserve">Talent Retention:</w:t>
      </w:r>
      <w:r>
        <w:t xml:space="preserve"> </w:t>
      </w:r>
      <w:r>
        <w:t xml:space="preserve">Competitive salary structures in Miami's booming market caused 4% attrition among Sales Executive staff. Recommendation: Implement location-based retention bonuses and accelerated promotion paths for top performers.</w:t>
      </w:r>
    </w:p>
    <w:p>
      <w:pPr>
        <w:numPr>
          <w:ilvl w:val="0"/>
          <w:numId w:val="1003"/>
        </w:numPr>
        <w:pStyle w:val="Compact"/>
      </w:pPr>
      <w:r>
        <w:rPr>
          <w:bCs/>
          <w:b/>
        </w:rPr>
        <w:t xml:space="preserve">Competitive Landscape:</w:t>
      </w:r>
      <w:r>
        <w:t xml:space="preserve"> </w:t>
      </w:r>
      <w:r>
        <w:t xml:space="preserve">Increased competition from regional tech firms necessitated higher sales cycle complexity. Recommendation: Develop industry-specific sales playbooks tailored to Miami's key sectors (real estate, hospitality, fintech).</w:t>
      </w:r>
    </w:p>
    <w:p>
      <w:pPr>
        <w:pStyle w:val="FirstParagraph"/>
      </w:pPr>
      <w:r>
        <w:t xml:space="preserve">For Q4 2024, the Sales Executive team will focus on:</w:t>
      </w:r>
    </w:p>
    <w:p>
      <w:pPr>
        <w:numPr>
          <w:ilvl w:val="0"/>
          <w:numId w:val="1004"/>
        </w:numPr>
        <w:pStyle w:val="Compact"/>
      </w:pPr>
      <w:r>
        <w:t xml:space="preserve">Expanding market share in the $15M+ enterprise segment within Miami</w:t>
      </w:r>
    </w:p>
    <w:p>
      <w:pPr>
        <w:numPr>
          <w:ilvl w:val="0"/>
          <w:numId w:val="1004"/>
        </w:numPr>
        <w:pStyle w:val="Compact"/>
      </w:pPr>
      <w:r>
        <w:t xml:space="preserve">Developing partnerships with Miami-based venture capital firms to access emerging startups</w:t>
      </w:r>
    </w:p>
    <w:p>
      <w:pPr>
        <w:numPr>
          <w:ilvl w:val="0"/>
          <w:numId w:val="1004"/>
        </w:numPr>
        <w:pStyle w:val="Compact"/>
      </w:pPr>
      <w:r>
        <w:t xml:space="preserve">Implementing AI-powered sales analytics tools specifically calibrated for United States Miami market patterns</w:t>
      </w:r>
    </w:p>
    <w:p>
      <w:pPr>
        <w:pStyle w:val="FirstParagraph"/>
      </w:pPr>
      <w:r>
        <w:t xml:space="preserve">The Sales Report confirms that our Sales Executive team has not only met but exceeded expectations in the United States Miami market, establishing a replicable model for other regional teams. The data shows Miami's unique position as both a gateway to global markets and an innovation hub creates unparalleled opportunities for strategic sales execution.</w:t>
      </w:r>
    </w:p>
    <w:bookmarkEnd w:id="24"/>
    <w:bookmarkStart w:id="25" w:name="conclusion-driving-future-growth"/>
    <w:p>
      <w:pPr>
        <w:pStyle w:val="Heading2"/>
      </w:pPr>
      <w:r>
        <w:t xml:space="preserve">Conclusion: Driving Future Growth</w:t>
      </w:r>
    </w:p>
    <w:p>
      <w:pPr>
        <w:pStyle w:val="FirstParagraph"/>
      </w:pPr>
      <w:r>
        <w:t xml:space="preserve">This Sales Report unequivocally demonstrates that the Sales Executive team operating within the United States Miami market has set a new industry benchmark. With revenue growth outpacing national averages by 37% and client acquisition rates improving significantly, our Miami operations represent a strategic asset for company-wide expansion.</w:t>
      </w:r>
    </w:p>
    <w:p>
      <w:pPr>
        <w:pStyle w:val="BodyText"/>
      </w:pPr>
      <w:r>
        <w:t xml:space="preserve">As we enter Q4, the Sales Executive focus will intensify on converting the robust $12.3M pipeline into closed deals while building deeper relationships with key Miami business leaders. The success in United States Miami proves that targeted market knowledge combined with exceptional sales execution delivers transformative results – a model now being replicated across other major U.S. markets.</w:t>
      </w:r>
    </w:p>
    <w:p>
      <w:pPr>
        <w:pStyle w:val="BodyText"/>
      </w:pPr>
      <w:r>
        <w:t xml:space="preserve">For our Sales Executive team, the Miami experience has created a powerful competitive advantage: understanding local nuances while delivering global solutions. This unique blend positions us to dominate not just the United States market, but increasingly the international business landscape through Miami's strategic gateway role.</w:t>
      </w:r>
    </w:p>
    <w:p>
      <w:pPr>
        <w:pStyle w:val="BodyText"/>
      </w:pPr>
      <w:r>
        <w:rPr>
          <w:bCs/>
          <w:b/>
        </w:rPr>
        <w:t xml:space="preserve">Final Note:</w:t>
      </w:r>
      <w:r>
        <w:t xml:space="preserve"> </w:t>
      </w:r>
      <w:r>
        <w:t xml:space="preserve">The Q3 Sales Report for United States Miami sets a new standard for our Sales Executive performance metrics nationwide. We recommend adopting Miami's localized sales framework across all major metropolitan territories to accelerate overall company growth.</w:t>
      </w:r>
    </w:p>
    <w:bookmarkEnd w:id="25"/>
    <w:p>
      <w:pPr>
        <w:pStyle w:val="BodyText"/>
      </w:pPr>
      <w:r>
        <w:t xml:space="preserve">Prepared by: National Sales Strategy Team | Date: October 26, 2024</w:t>
      </w:r>
      <w:r>
        <w:br/>
      </w:r>
      <w:r>
        <w:t xml:space="preserve">This Sales Report is for internal use only - Confidential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 United States Miami</dc:title>
  <dc:creator/>
  <dc:language>en</dc:language>
  <cp:keywords/>
  <dcterms:created xsi:type="dcterms:W3CDTF">2026-07-23T20:36:24Z</dcterms:created>
  <dcterms:modified xsi:type="dcterms:W3CDTF">2026-07-23T20:36:24Z</dcterms:modified>
</cp:coreProperties>
</file>

<file path=docProps/custom.xml><?xml version="1.0" encoding="utf-8"?>
<Properties xmlns="http://schemas.openxmlformats.org/officeDocument/2006/custom-properties" xmlns:vt="http://schemas.openxmlformats.org/officeDocument/2006/docPropsVTypes"/>
</file>