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0" w:name="X0f50d6caf8a72dfbeb20b1ceb7cf65e03a37040"/>
    <w:p>
      <w:pPr>
        <w:pStyle w:val="Heading1"/>
      </w:pPr>
      <w:r>
        <w:t xml:space="preserve">United States New York City Sales Executive Performance Report</w:t>
      </w:r>
      <w:r>
        <w:br/>
      </w:r>
      <w:r>
        <w:t xml:space="preserve">Q3 2023 Quarterly Review</w:t>
      </w:r>
    </w:p>
    <w:bookmarkStart w:id="20" w:name="X37e9b5eafeb5a3dfdbc33e58eda5cce9377cdb7"/>
    <w:p>
      <w:pPr>
        <w:pStyle w:val="Heading2"/>
      </w:pPr>
      <w:r>
        <w:t xml:space="preserve">Introduction: Driving Growth in the Epicenter of American Commerce</w:t>
      </w:r>
    </w:p>
    <w:p>
      <w:pPr>
        <w:pStyle w:val="FirstParagraph"/>
      </w:pPr>
      <w:r>
        <w:t xml:space="preserve">This comprehensive Sales Report details the performance metrics and strategic initiatives of our Sales Executive operating within the dynamic business ecosystem of United States New York City. As a pivotal market driving national economic momentum, NYC demands exceptional sales acumen, cultural intelligence, and relentless execution—qualities embodied by our dedicated Sales Executive. This document serves as both an accountability framework and growth roadmap for sustaining leadership in America's most competitive commercial landscape.</w:t>
      </w:r>
    </w:p>
    <w:p>
      <w:pPr>
        <w:pStyle w:val="BodyText"/>
      </w:pPr>
      <w:r>
        <w:t xml:space="preserve">Operating from Manhattan's financial district amid 50+ Fortune 500 headquarters, our Sales Executive has navigated NYC's unique challenges: hyper-competitive B2B environments, rapidly shifting industry trends, and the city's insatiable demand for innovative solutions. This report quantifies achievements against Q3 targets while highlighting how our Sales Executive transformed local market dynamics through data-driven strategies tailored to New York City's commercial rhythm.</w:t>
      </w:r>
    </w:p>
    <w:bookmarkEnd w:id="20"/>
    <w:bookmarkStart w:id="21" w:name="X34952ae49802642f895378b197a472021e601d4"/>
    <w:p>
      <w:pPr>
        <w:pStyle w:val="Heading2"/>
      </w:pPr>
      <w:r>
        <w:t xml:space="preserve">Performance Overview: NYC-Specific Metrics</w:t>
      </w:r>
    </w:p>
    <w:p>
      <w:pPr>
        <w:pStyle w:val="FirstParagraph"/>
      </w:pPr>
      <w:r>
        <w:t xml:space="preserve">During Q3 2023, our Sales Executive achieved a remarkable 118% of quarterly revenue targets within United States New York City—surpassing industry benchmarks by 27 percentage points. This performance reflects exceptional market penetration across Manhattan, Brooklyn, and Queens corridors where commercial real estate costs exceed $95/sqft annually. Key metrics include:</w:t>
      </w:r>
    </w:p>
    <w:p>
      <w:pPr>
        <w:pStyle w:val="BodyText"/>
      </w:pPr>
      <w:r>
        <w:rPr>
          <w:bCs/>
          <w:b/>
        </w:rPr>
        <w:t xml:space="preserve">Revenue Growth:</w:t>
      </w:r>
      <w:r>
        <w:t xml:space="preserve"> </w:t>
      </w:r>
      <w:r>
        <w:t xml:space="preserve">$3.28M vs. target $2.78M (118% achievement) | +42% YoY growth in NYC segment</w:t>
      </w:r>
    </w:p>
    <w:p>
      <w:pPr>
        <w:pStyle w:val="BodyText"/>
      </w:pPr>
      <w:r>
        <w:rPr>
          <w:bCs/>
          <w:b/>
        </w:rPr>
        <w:t xml:space="preserve">New Client Acquisition:</w:t>
      </w:r>
      <w:r>
        <w:t xml:space="preserve"> </w:t>
      </w:r>
      <w:r>
        <w:t xml:space="preserve">19 high-value enterprise contracts (including 3 Fortune 500 firms) | 67% above target</w:t>
      </w:r>
    </w:p>
    <w:p>
      <w:pPr>
        <w:pStyle w:val="BodyText"/>
      </w:pPr>
      <w:r>
        <w:rPr>
          <w:bCs/>
          <w:b/>
        </w:rPr>
        <w:t xml:space="preserve">Client Retention Rate:</w:t>
      </w:r>
      <w:r>
        <w:t xml:space="preserve"> </w:t>
      </w:r>
      <w:r>
        <w:t xml:space="preserve">94.2% | Outperforming NYC industry average of 83%</w:t>
      </w:r>
    </w:p>
    <w:p>
      <w:pPr>
        <w:pStyle w:val="BodyText"/>
      </w:pPr>
      <w:r>
        <w:rPr>
          <w:bCs/>
          <w:b/>
        </w:rPr>
        <w:t xml:space="preserve">Market Share Gain:</w:t>
      </w:r>
      <w:r>
        <w:t xml:space="preserve"> </w:t>
      </w:r>
      <w:r>
        <w:t xml:space="preserve">Secured +12.7% share in NYC's $18.3B SaaS market (per Gartner)</w:t>
      </w:r>
    </w:p>
    <w:p>
      <w:pPr>
        <w:pStyle w:val="BodyText"/>
      </w:pPr>
      <w:r>
        <w:t xml:space="preserve">The Sales Executive's success stems from hyper-localized tactics: leveraging NYC-specific business events like the Brooklyn Tech Meetup, adapting proposals to address city regulations (e.g., New York City Energy Conservation Code), and building relationships through industry associations such as the Partnership for New York City. This localized approach directly contributed to a 23% increase in conversion rates from cold outreach compared to national averages.</w:t>
      </w:r>
    </w:p>
    <w:bookmarkEnd w:id="21"/>
    <w:bookmarkStart w:id="25" w:name="Xc097a467b4644f41aaa8f354df154b84e4b734e"/>
    <w:p>
      <w:pPr>
        <w:pStyle w:val="Heading2"/>
      </w:pPr>
      <w:r>
        <w:t xml:space="preserve">Key Achievements: Transforming NYC's Sales Landscape</w:t>
      </w:r>
    </w:p>
    <w:p>
      <w:pPr>
        <w:pStyle w:val="FirstParagraph"/>
      </w:pPr>
      <w:r>
        <w:t xml:space="preserve">Our Sales Executive executed three landmark initiatives that redefined success in United States New York City:</w:t>
      </w:r>
    </w:p>
    <w:bookmarkStart w:id="22" w:name="X55d3228595e530cc7e8fe185cf9d061d528b372"/>
    <w:p>
      <w:pPr>
        <w:pStyle w:val="Heading3"/>
      </w:pPr>
      <w:r>
        <w:t xml:space="preserve">1. The Wall Street Corporate Expansion Initiative</w:t>
      </w:r>
    </w:p>
    <w:p>
      <w:pPr>
        <w:pStyle w:val="FirstParagraph"/>
      </w:pPr>
      <w:r>
        <w:t xml:space="preserve">Closed 7 multi-million-dollar contracts with financial institutions on Wall Street, including a $1.2M deal with a major investment bank seeking compliance solutions for NYC's 2023 Anti-Money Laundering Act updates. This required deep understanding of New York City regulatory nuances—the Sales Executive personally attended the NYDFS (New York Department of Financial Services) training sessions to tailor proposals, resulting in zero compliance-related objections during implementation.</w:t>
      </w:r>
    </w:p>
    <w:bookmarkEnd w:id="22"/>
    <w:bookmarkStart w:id="23" w:name="X9a95e6daa8e301cd2304696dfc7af00727ee4c8"/>
    <w:p>
      <w:pPr>
        <w:pStyle w:val="Heading3"/>
      </w:pPr>
      <w:r>
        <w:t xml:space="preserve">2. Brooklyn Tech Corridor Partnership Network</w:t>
      </w:r>
    </w:p>
    <w:p>
      <w:pPr>
        <w:pStyle w:val="FirstParagraph"/>
      </w:pPr>
      <w:r>
        <w:t xml:space="preserve">Forged strategic alliances with 5 emerging tech hubs across Brooklyn, including the DUMBO Innovation District. This network generated 14 qualified leads within 60 days, directly contributing to a 35% increase in pipeline velocity for NYC operations. The Sales Executive pioneered a "NYC Tech Tour" event series that attracted over 200 decision-makers from firms like Medidata and Figma's NYC office.</w:t>
      </w:r>
    </w:p>
    <w:bookmarkEnd w:id="23"/>
    <w:bookmarkStart w:id="24" w:name="data-driven-account-management-system"/>
    <w:p>
      <w:pPr>
        <w:pStyle w:val="Heading3"/>
      </w:pPr>
      <w:r>
        <w:t xml:space="preserve">3. Data-Driven Account Management System</w:t>
      </w:r>
    </w:p>
    <w:p>
      <w:pPr>
        <w:pStyle w:val="FirstParagraph"/>
      </w:pPr>
      <w:r>
        <w:t xml:space="preserve">Developed an internal CRM customization specific to New York City's sales patterns—incorporating variables like subway disruption schedules, local holiday impacts (e.g., NY State Fair), and industry-specific economic data from NYC Department of Commerce reports. This system reduced average sales cycle by 17 days in Manhattan accounts, a critical advantage in NYC's fast-paced environment.</w:t>
      </w:r>
    </w:p>
    <w:bookmarkEnd w:id="24"/>
    <w:bookmarkEnd w:id="25"/>
    <w:bookmarkStart w:id="26" w:name="X0e48f6b11648157d4ff209fc008bedfce417bbd"/>
    <w:p>
      <w:pPr>
        <w:pStyle w:val="Heading2"/>
      </w:pPr>
      <w:r>
        <w:t xml:space="preserve">Challenges &amp; Strategic Adaptations: Navigating NYC's Complexity</w:t>
      </w:r>
    </w:p>
    <w:p>
      <w:pPr>
        <w:pStyle w:val="FirstParagraph"/>
      </w:pPr>
      <w:r>
        <w:t xml:space="preserve">Operating in United States New York City presented unique obstacles requiring agile problem-solving:</w:t>
      </w:r>
    </w:p>
    <w:p>
      <w:pPr>
        <w:numPr>
          <w:ilvl w:val="0"/>
          <w:numId w:val="1001"/>
        </w:numPr>
        <w:pStyle w:val="Compact"/>
      </w:pPr>
      <w:r>
        <w:rPr>
          <w:bCs/>
          <w:b/>
        </w:rPr>
        <w:t xml:space="preserve">High Executive Turnover:</w:t>
      </w:r>
      <w:r>
        <w:t xml:space="preserve"> </w:t>
      </w:r>
      <w:r>
        <w:t xml:space="preserve">NYC's finance sector experiences 38% annual C-suite churn. The Sales Executive implemented a "Stakeholder Continuity Protocol" involving quarterly relationship mapping and personalized touchpoints that reduced attrition impact by 62%.</w:t>
      </w:r>
    </w:p>
    <w:p>
      <w:pPr>
        <w:numPr>
          <w:ilvl w:val="0"/>
          <w:numId w:val="1001"/>
        </w:numPr>
        <w:pStyle w:val="Compact"/>
      </w:pPr>
      <w:r>
        <w:rPr>
          <w:bCs/>
          <w:b/>
        </w:rPr>
        <w:t xml:space="preserve">Competitive Saturation:</w:t>
      </w:r>
      <w:r>
        <w:t xml:space="preserve"> </w:t>
      </w:r>
      <w:r>
        <w:t xml:space="preserve">With over 4,000 sales teams operating in NYC, the executive differentiated through localized case studies—e.g., "How [Client] Achieved 35% Efficiency Gain While Complying with NYC's Local Law 97."</w:t>
      </w:r>
    </w:p>
    <w:p>
      <w:pPr>
        <w:numPr>
          <w:ilvl w:val="0"/>
          <w:numId w:val="1001"/>
        </w:numPr>
        <w:pStyle w:val="Compact"/>
      </w:pPr>
      <w:r>
        <w:rPr>
          <w:bCs/>
          <w:b/>
        </w:rPr>
        <w:t xml:space="preserve">Post-Pandemic Workforce Shifts:</w:t>
      </w:r>
      <w:r>
        <w:t xml:space="preserve"> </w:t>
      </w:r>
      <w:r>
        <w:t xml:space="preserve">Addressed hybrid work challenges by creating a "NYC Hybrid Sales Playbook" featuring optimized virtual demos for remote teams and in-person meetings at Manhattan co-working spaces like WeWork's Grand Central location.</w:t>
      </w:r>
    </w:p>
    <w:p>
      <w:pPr>
        <w:pStyle w:val="FirstParagraph"/>
      </w:pPr>
      <w:r>
        <w:t xml:space="preserve">The Sales Executive’s quarterly market analysis reports became critical tools for leadership, forecasting NYC-specific trends such as the 2023 surge in demand for sustainable supply chain solutions following NYC's Climate Mobilization Act. This proactive insight drove a 29% revenue uptick from sustainability-focused accounts.</w:t>
      </w:r>
    </w:p>
    <w:bookmarkEnd w:id="26"/>
    <w:bookmarkStart w:id="27" w:name="X1a6f0c9a9885116fde7a2b850850c53a06ce8b2"/>
    <w:p>
      <w:pPr>
        <w:pStyle w:val="Heading2"/>
      </w:pPr>
      <w:r>
        <w:t xml:space="preserve">Market Analysis: NYC's Evolution &amp; Opportunity</w:t>
      </w:r>
    </w:p>
    <w:p>
      <w:pPr>
        <w:pStyle w:val="FirstParagraph"/>
      </w:pPr>
      <w:r>
        <w:t xml:space="preserve">United States New York City remains the nation's premier sales battleground, contributing 14% of all U.S. corporate revenue growth despite representing only 0.3% of the country's land area. Our Sales Executive identified three emerging trends shaping NYC commerce:</w:t>
      </w:r>
    </w:p>
    <w:p>
      <w:pPr>
        <w:numPr>
          <w:ilvl w:val="0"/>
          <w:numId w:val="1002"/>
        </w:numPr>
        <w:pStyle w:val="Compact"/>
      </w:pPr>
      <w:r>
        <w:rPr>
          <w:bCs/>
          <w:b/>
        </w:rPr>
        <w:t xml:space="preserve">Regulatory-Driven Innovation:</w:t>
      </w:r>
      <w:r>
        <w:t xml:space="preserve"> </w:t>
      </w:r>
      <w:r>
        <w:t xml:space="preserve">NYC's new data privacy laws (2023) created urgent demand for compliant solutions—our executive positioned the company as a regulatory partner, securing $850K in contracts within 90 days.</w:t>
      </w:r>
    </w:p>
    <w:p>
      <w:pPr>
        <w:numPr>
          <w:ilvl w:val="0"/>
          <w:numId w:val="1002"/>
        </w:numPr>
        <w:pStyle w:val="Compact"/>
      </w:pPr>
      <w:r>
        <w:rPr>
          <w:bCs/>
          <w:b/>
        </w:rPr>
        <w:t xml:space="preserve">Downtown Renaissance:</w:t>
      </w:r>
      <w:r>
        <w:t xml:space="preserve"> </w:t>
      </w:r>
      <w:r>
        <w:t xml:space="preserve">As businesses return to Manhattan post-pandemic, the Sales Executive targeted office real estate firms with "Reactivation Packages" that boosted conversion by 41% among clients relocating from remote models.</w:t>
      </w:r>
    </w:p>
    <w:p>
      <w:pPr>
        <w:numPr>
          <w:ilvl w:val="0"/>
          <w:numId w:val="1002"/>
        </w:numPr>
        <w:pStyle w:val="Compact"/>
      </w:pPr>
      <w:r>
        <w:rPr>
          <w:bCs/>
          <w:b/>
        </w:rPr>
        <w:t xml:space="preserve">Industry-Specific Demand Shifts:</w:t>
      </w:r>
      <w:r>
        <w:t xml:space="preserve"> </w:t>
      </w:r>
      <w:r>
        <w:t xml:space="preserve">NYC's healthcare sector (25% of city's GDP) showed 300% growth in telehealth adoption—our executive captured $2.1M in related contracts through specialized clinical sales training.</w:t>
      </w:r>
    </w:p>
    <w:p>
      <w:pPr>
        <w:pStyle w:val="FirstParagraph"/>
      </w:pPr>
      <w:r>
        <w:t xml:space="preserve">Cross-referencing these trends with NYC Department of Finance data, the Sales Executive developed a predictive model showing that companies prioritizing NYC regulatory compliance would grow revenue 3.2x faster than peers—a key insight driving current account strategy.</w:t>
      </w:r>
    </w:p>
    <w:bookmarkEnd w:id="27"/>
    <w:bookmarkStart w:id="28" w:name="Xadf858fe531cbf827c8e3a093aa670aa313e26c"/>
    <w:p>
      <w:pPr>
        <w:pStyle w:val="Heading2"/>
      </w:pPr>
      <w:r>
        <w:t xml:space="preserve">Strategic Goals for Q4: Building on NYC Success</w:t>
      </w:r>
    </w:p>
    <w:p>
      <w:pPr>
        <w:pStyle w:val="FirstParagraph"/>
      </w:pPr>
      <w:r>
        <w:t xml:space="preserve">For the final quarter of 2023, our Sales Executive has set ambitious yet achievable goals focused on consolidating NYC leadership:</w:t>
      </w:r>
    </w:p>
    <w:p>
      <w:pPr>
        <w:numPr>
          <w:ilvl w:val="0"/>
          <w:numId w:val="1003"/>
        </w:numPr>
        <w:pStyle w:val="Compact"/>
      </w:pPr>
      <w:r>
        <w:rPr>
          <w:bCs/>
          <w:b/>
        </w:rPr>
        <w:t xml:space="preserve">Revenue Target:</w:t>
      </w:r>
      <w:r>
        <w:t xml:space="preserve"> </w:t>
      </w:r>
      <w:r>
        <w:t xml:space="preserve">$3.8M (achieving 125% of target with a focus on high-margin solutions)</w:t>
      </w:r>
    </w:p>
    <w:p>
      <w:pPr>
        <w:numPr>
          <w:ilvl w:val="0"/>
          <w:numId w:val="1003"/>
        </w:numPr>
        <w:pStyle w:val="Compact"/>
      </w:pPr>
      <w:r>
        <w:rPr>
          <w:bCs/>
          <w:b/>
        </w:rPr>
        <w:t xml:space="preserve">Market Expansion:</w:t>
      </w:r>
      <w:r>
        <w:t xml:space="preserve"> </w:t>
      </w:r>
      <w:r>
        <w:t xml:space="preserve">Penetrate the Bronx commercial corridor with tailored offerings for healthcare providers</w:t>
      </w:r>
    </w:p>
    <w:p>
      <w:pPr>
        <w:numPr>
          <w:ilvl w:val="0"/>
          <w:numId w:val="1003"/>
        </w:numPr>
        <w:pStyle w:val="Compact"/>
      </w:pPr>
      <w:r>
        <w:rPr>
          <w:bCs/>
          <w:b/>
        </w:rPr>
        <w:t xml:space="preserve">Sustainability Focus:</w:t>
      </w:r>
      <w:r>
        <w:t xml:space="preserve"> </w:t>
      </w:r>
      <w:r>
        <w:t xml:space="preserve">Secure 10+ contracts with NYC-certified green businesses (LEED/ENERGY STAR)</w:t>
      </w:r>
    </w:p>
    <w:p>
      <w:pPr>
        <w:pStyle w:val="FirstParagraph"/>
      </w:pPr>
      <w:r>
        <w:t xml:space="preserve">A core initiative includes launching the "NYC Sales Accelerator Program," a training framework designed to equip all national sales teams with NYC-specific tactics—leveraging the executive's proprietary playbook. This program is projected to increase nationwide conversion rates by 18% while reinforcing our leadership position in America's most valuable market.</w:t>
      </w:r>
    </w:p>
    <w:bookmarkEnd w:id="28"/>
    <w:bookmarkStart w:id="29" w:name="Xcfd284993b57f9ce7c2b28fd31a4ff6ea7ea33a"/>
    <w:p>
      <w:pPr>
        <w:pStyle w:val="Heading2"/>
      </w:pPr>
      <w:r>
        <w:t xml:space="preserve">Conclusion: The NYC Imperative for National Success</w:t>
      </w:r>
    </w:p>
    <w:p>
      <w:pPr>
        <w:pStyle w:val="FirstParagraph"/>
      </w:pPr>
      <w:r>
        <w:t xml:space="preserve">This Sales Report affirms that excellence in United States New York City directly correlates with national growth. Our Sales Executive has not merely met targets—they have redefined what's possible in the city that sets America's commercial pace. By embedding NYC-specific intelligence into every strategy, they've turned the market's challenges into unparalleled opportunities, demonstrating how a hyper-local approach fuels global impact.</w:t>
      </w:r>
    </w:p>
    <w:p>
      <w:pPr>
        <w:pStyle w:val="BodyText"/>
      </w:pPr>
      <w:r>
        <w:t xml:space="preserve">As we advance toward 2024, this Sales Executive will remain central to our national roadmap—proving that success in New York City isn't just about selling; it's about leading the commerce of tomorrow from today's most dynamic marketplace. The performance metrics speak for themselves: In a city where opportunity is measured in seconds, our Sales Executive delivered results that moved markets and redefined excellence.</w:t>
      </w:r>
    </w:p>
    <w:p>
      <w:pPr>
        <w:pStyle w:val="BodyText"/>
      </w:pPr>
      <w:r>
        <w:rPr>
          <w:bCs/>
          <w:b/>
        </w:rPr>
        <w:t xml:space="preserve">Prepared by:</w:t>
      </w:r>
      <w:r>
        <w:t xml:space="preserve"> </w:t>
      </w:r>
      <w:r>
        <w:t xml:space="preserve">Sales Operations Leadership, United States Regional Office</w:t>
      </w:r>
      <w:r>
        <w:br/>
      </w:r>
      <w:r>
        <w:rPr>
          <w:bCs/>
          <w:b/>
        </w:rPr>
        <w:t xml:space="preserve">Date:</w:t>
      </w:r>
      <w:r>
        <w:t xml:space="preserve"> </w:t>
      </w:r>
      <w:r>
        <w:t xml:space="preserve">October 26, 2023</w:t>
      </w:r>
      <w:r>
        <w:br/>
      </w:r>
      <w:r>
        <w:rPr>
          <w:bCs/>
          <w:b/>
        </w:rPr>
        <w:t xml:space="preserve">For:</w:t>
      </w:r>
      <w:r>
        <w:t xml:space="preserve"> </w:t>
      </w:r>
      <w:r>
        <w:t xml:space="preserve">Chief Revenue Officer &amp; Executive Board, United States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New York City Sales Executive Performance Report</dc:title>
  <dc:creator/>
  <dc:language>en</dc:language>
  <cp:keywords/>
  <dcterms:created xsi:type="dcterms:W3CDTF">2025-12-11T15:56:37Z</dcterms:created>
  <dcterms:modified xsi:type="dcterms:W3CDTF">2025-12-11T15:56:37Z</dcterms:modified>
</cp:coreProperties>
</file>

<file path=docProps/custom.xml><?xml version="1.0" encoding="utf-8"?>
<Properties xmlns="http://schemas.openxmlformats.org/officeDocument/2006/custom-properties" xmlns:vt="http://schemas.openxmlformats.org/officeDocument/2006/docPropsVTypes"/>
</file>