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Malaysia</w:t>
      </w:r>
      <w:r>
        <w:t xml:space="preserve"> </w:t>
      </w:r>
      <w:r>
        <w:t xml:space="preserve">Kuala</w:t>
      </w:r>
      <w:r>
        <w:t xml:space="preserve"> </w:t>
      </w:r>
      <w:r>
        <w:t xml:space="preserve">Lumpur</w:t>
      </w:r>
    </w:p>
    <w:bookmarkStart w:id="27" w:name="Xa442e8db6582d86fe9a6bdc3b84b40bb3d8c699"/>
    <w:p>
      <w:pPr>
        <w:pStyle w:val="Heading1"/>
      </w:pPr>
      <w:r>
        <w:t xml:space="preserve">Sales Report: School Counselor Service Expansion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Global Educational Solutions (GES)</w:t>
      </w:r>
      <w:r>
        <w:br/>
      </w:r>
      <w:r>
        <w:rPr>
          <w:bCs/>
          <w:b/>
        </w:rPr>
        <w:t xml:space="preserve">Prepared By:</w:t>
      </w:r>
      <w:r>
        <w:t xml:space="preserve"> </w:t>
      </w:r>
      <w:r>
        <w:t xml:space="preserve">Southeast Asia Sales Division</w:t>
      </w:r>
      <w:r>
        <w:br/>
      </w:r>
      <w:r>
        <w:rPr>
          <w:bCs/>
          <w:b/>
        </w:rPr>
        <w:t xml:space="preserve">Distribution:</w:t>
      </w:r>
      <w:r>
        <w:t xml:space="preserve"> </w:t>
      </w:r>
      <w:r>
        <w:t xml:space="preserve">School Administrators, Ministry of Education Malaysia Representatives</w:t>
      </w:r>
    </w:p>
    <w:bookmarkStart w:id="20" w:name="i.-executive-summary"/>
    <w:p>
      <w:pPr>
        <w:pStyle w:val="Heading2"/>
      </w:pPr>
      <w:r>
        <w:t xml:space="preserve">I. Executive Summary</w:t>
      </w:r>
    </w:p>
    <w:p>
      <w:pPr>
        <w:pStyle w:val="FirstParagraph"/>
      </w:pPr>
      <w:r>
        <w:t xml:space="preserve">This Sales Report details the strategic expansion and market penetration efforts for our certified School Counselor services across Kuala Lumpur, Malaysia. In the past fiscal quarter, we achieved a 37% increase in contracted schools within Malaysia Kuala Lumpur compared to Q1 2023. Our focused approach targeting both international institutions and public school networks has positioned us as the leading provider of culturally competent counseling services in this critical educational market. The demand for specialized School Counselor support has surged by 45% year-over-year, driven by Malaysia's National Education Blueprint 2013-2025 and heightened awareness of student mental health needs following the pandemic. This report validates our strategic investment in developing Malaysia-specific counseling frameworks that address local cultural nuances while meeting international accreditation standards.</w:t>
      </w:r>
    </w:p>
    <w:bookmarkEnd w:id="20"/>
    <w:bookmarkStart w:id="21" w:name="Xb1a9e9113825d740bf3702bf9456dc3ac2b4b38"/>
    <w:p>
      <w:pPr>
        <w:pStyle w:val="Heading2"/>
      </w:pPr>
      <w:r>
        <w:t xml:space="preserve">II. Market Analysis: School Counselor Demand in Kuala Lumpur</w:t>
      </w:r>
    </w:p>
    <w:p>
      <w:pPr>
        <w:pStyle w:val="FirstParagraph"/>
      </w:pPr>
      <w:r>
        <w:t xml:space="preserve">Kuala Lumpur's educational landscape presents a unique opportunity for premium School Counselor services. With over 1,200 schools operating in the Klang Valley – including 87 international institutions and 436 public schools under the Ministry of Education – there is a critical gap in specialized counseling resources. Recent Ministry surveys indicate that only 12% of Malaysian public schools maintain certified counselors (vs. 68% internationally), creating an urgent market need our Sales Report identifies as our core growth vector.</w:t>
      </w:r>
    </w:p>
    <w:p>
      <w:pPr>
        <w:pStyle w:val="BodyText"/>
      </w:pPr>
      <w:r>
        <w:t xml:space="preserve">The cultural context demands particular attention: Malay, Chinese, and Indian student populations require nuanced approaches to mental health discussions that respect religious values while addressing modern stressors like academic pressure and digital addiction. Our Malaysia Kuala Lumpur team has developed the "Budaya Bimbingan" framework – integrating local concepts of 'harmony' (keseimbangan) with evidence-based counseling techniques – which has become our key differentiator in the Sales Report narrative.</w:t>
      </w:r>
    </w:p>
    <w:bookmarkEnd w:id="21"/>
    <w:bookmarkStart w:id="22" w:name="iii.-sales-strategy-key-initiatives"/>
    <w:p>
      <w:pPr>
        <w:pStyle w:val="Heading2"/>
      </w:pPr>
      <w:r>
        <w:t xml:space="preserve">III. Sales Strategy &amp; Key Initiatives</w:t>
      </w:r>
    </w:p>
    <w:p>
      <w:pPr>
        <w:pStyle w:val="FirstParagraph"/>
      </w:pPr>
      <w:r>
        <w:t xml:space="preserve">Our strategy centers on three pillars directly tied to Malaysia Kuala Lumpur's educational priorities:</w:t>
      </w:r>
    </w:p>
    <w:p>
      <w:pPr>
        <w:numPr>
          <w:ilvl w:val="0"/>
          <w:numId w:val="1001"/>
        </w:numPr>
        <w:pStyle w:val="Compact"/>
      </w:pPr>
      <w:r>
        <w:rPr>
          <w:bCs/>
          <w:b/>
        </w:rPr>
        <w:t xml:space="preserve">Cultural Integration Workshops:</w:t>
      </w:r>
      <w:r>
        <w:t xml:space="preserve"> </w:t>
      </w:r>
      <w:r>
        <w:t xml:space="preserve">We hosted 14 school administrator briefings across KL, demonstrating how our School Counselor methodology aligns with the Ministry's "Pembangunan Insan" (Human Development) initiative. Each session included case studies of successful implementations at Sekolah Menengah Kebangsaan Damansara.</w:t>
      </w:r>
    </w:p>
    <w:p>
      <w:pPr>
        <w:numPr>
          <w:ilvl w:val="0"/>
          <w:numId w:val="1001"/>
        </w:numPr>
        <w:pStyle w:val="Compact"/>
      </w:pPr>
      <w:r>
        <w:rPr>
          <w:bCs/>
          <w:b/>
        </w:rPr>
        <w:t xml:space="preserve">Public-Private Partnership Model:</w:t>
      </w:r>
      <w:r>
        <w:t xml:space="preserve"> </w:t>
      </w:r>
      <w:r>
        <w:t xml:space="preserve">Partnering with the Kuala Lumpur Education Department for pilot programs in 5 government schools, demonstrating cost-effectiveness (28% lower per-student costs than local alternatives) through our Sales Report data visualization.</w:t>
      </w:r>
    </w:p>
    <w:p>
      <w:pPr>
        <w:numPr>
          <w:ilvl w:val="0"/>
          <w:numId w:val="1001"/>
        </w:numPr>
        <w:pStyle w:val="Compact"/>
      </w:pPr>
      <w:r>
        <w:rPr>
          <w:bCs/>
          <w:b/>
        </w:rPr>
        <w:t xml:space="preserve">Digital Platform Integration:</w:t>
      </w:r>
      <w:r>
        <w:t xml:space="preserve"> </w:t>
      </w:r>
      <w:r>
        <w:t xml:space="preserve">Launching the "KL Counselor Connect" portal – a localized telehealth platform compliant with Malaysia's Personal Data Protection Act (PDPA) – which reduced school implementation timelines by 50%.</w:t>
      </w:r>
    </w:p>
    <w:bookmarkEnd w:id="22"/>
    <w:bookmarkStart w:id="23" w:name="X8cecca31f1f0757e7c84c49000360bcc14c4af4"/>
    <w:p>
      <w:pPr>
        <w:pStyle w:val="Heading2"/>
      </w:pPr>
      <w:r>
        <w:t xml:space="preserve">IV. Sales Performance Metrics: Malaysia Kuala Lumpur Focus</w:t>
      </w:r>
    </w:p>
    <w:p>
      <w:pPr>
        <w:pStyle w:val="FirstParagraph"/>
      </w:pPr>
      <w:r>
        <w:t xml:space="preserve">Quarter</w:t>
      </w:r>
    </w:p>
    <w:p>
      <w:pPr>
        <w:pStyle w:val="BodyText"/>
      </w:pPr>
      <w:r>
        <w:t xml:space="preserve">Contracted Schools (KL)</w:t>
      </w:r>
    </w:p>
    <w:p>
      <w:pPr>
        <w:pStyle w:val="BodyText"/>
      </w:pPr>
      <w:r>
        <w:t xml:space="preserve">New Clients Acquired</w:t>
      </w:r>
    </w:p>
    <w:p>
      <w:pPr>
        <w:pStyle w:val="BodyText"/>
      </w:pPr>
      <w:r>
        <w:t xml:space="preserve">Revenue Generated (MYR)</w:t>
      </w:r>
    </w:p>
    <w:p>
      <w:pPr>
        <w:pStyle w:val="BodyText"/>
      </w:pPr>
      <w:r>
        <w:t xml:space="preserve">Growth vs Previous Qtr</w:t>
      </w:r>
    </w:p>
    <w:p>
      <w:pPr>
        <w:pStyle w:val="BodyText"/>
      </w:pPr>
      <w:r>
        <w:t xml:space="preserve">H1 2023</w:t>
      </w:r>
    </w:p>
    <w:p>
      <w:pPr>
        <w:pStyle w:val="BodyText"/>
      </w:pPr>
      <w:r>
        <w:t xml:space="preserve">17</w:t>
      </w:r>
    </w:p>
    <w:p>
      <w:pPr>
        <w:pStyle w:val="BodyText"/>
      </w:pPr>
      <w:r>
        <w:t xml:space="preserve">5</w:t>
      </w:r>
    </w:p>
    <w:p>
      <w:pPr>
        <w:pStyle w:val="BodyText"/>
      </w:pPr>
      <w:r>
        <w:t xml:space="preserve">3,450,000</w:t>
      </w:r>
    </w:p>
    <w:p>
      <w:pPr>
        <w:pStyle w:val="BodyText"/>
      </w:pPr>
      <w:r>
        <w:t xml:space="preserve">-</w:t>
      </w:r>
    </w:p>
    <w:p>
      <w:pPr>
        <w:pStyle w:val="BodyText"/>
      </w:pPr>
      <w:r>
        <w:t xml:space="preserve">H2 2023 (Current)</w:t>
      </w:r>
    </w:p>
    <w:p>
      <w:pPr>
        <w:pStyle w:val="BodyText"/>
      </w:pPr>
      <w:r>
        <w:t xml:space="preserve">29</w:t>
      </w:r>
    </w:p>
    <w:p>
      <w:pPr>
        <w:pStyle w:val="BodyText"/>
      </w:pPr>
      <w:r>
        <w:t xml:space="preserve">14</w:t>
      </w:r>
    </w:p>
    <w:p>
      <w:pPr>
        <w:pStyle w:val="BodyText"/>
      </w:pPr>
      <w:r>
        <w:t xml:space="preserve">5,870,000</w:t>
      </w:r>
    </w:p>
    <w:p>
      <w:pPr>
        <w:pStyle w:val="BodyText"/>
      </w:pPr>
      <w:r>
        <w:t xml:space="preserve">+37%</w:t>
      </w:r>
    </w:p>
    <w:p>
      <w:pPr>
        <w:pStyle w:val="BodyText"/>
      </w:pPr>
      <w:r>
        <w:rPr>
          <w:bCs/>
          <w:b/>
        </w:rPr>
        <w:t xml:space="preserve">Critical Success Factor:</w:t>
      </w:r>
      <w:r>
        <w:t xml:space="preserve"> </w:t>
      </w:r>
      <w:r>
        <w:t xml:space="preserve">The 45% increase in repeat contracts from KL schools (e.g., SMK Taman Desa, International School Kuala Lumpur) demonstrates our School Counselor service's perceived value beyond basic compliance. This is documented in our quarterly client satisfaction surveys showing 92% retention rate – significantly higher than industry average of 78%.</w:t>
      </w:r>
    </w:p>
    <w:bookmarkEnd w:id="23"/>
    <w:bookmarkStart w:id="24" w:name="v.-challenges-strategic-responses"/>
    <w:p>
      <w:pPr>
        <w:pStyle w:val="Heading2"/>
      </w:pPr>
      <w:r>
        <w:t xml:space="preserve">V. Challenges &amp; Strategic Responses</w:t>
      </w:r>
    </w:p>
    <w:p>
      <w:pPr>
        <w:pStyle w:val="FirstParagraph"/>
      </w:pPr>
      <w:r>
        <w:t xml:space="preserve">Initial market entry faced two key barriers:</w:t>
      </w:r>
    </w:p>
    <w:p>
      <w:pPr>
        <w:numPr>
          <w:ilvl w:val="0"/>
          <w:numId w:val="1002"/>
        </w:numPr>
        <w:pStyle w:val="Compact"/>
      </w:pPr>
      <w:r>
        <w:rPr>
          <w:iCs/>
          <w:i/>
        </w:rPr>
        <w:t xml:space="preserve">Perceived Cultural Mismatch:</w:t>
      </w:r>
      <w:r>
        <w:t xml:space="preserve"> </w:t>
      </w:r>
      <w:r>
        <w:t xml:space="preserve">Early school administrators feared Western counseling models would clash with Malay values. Our solution: Developed "Cultural Fluency" certification for all counselors, requiring 60 hours of training on Malaysian family dynamics, religious practices (e.g., Ramadan sensitivities), and local youth culture. This transformed our Sales Report from a technical proposal to a cultural partnership invitation.</w:t>
      </w:r>
    </w:p>
    <w:p>
      <w:pPr>
        <w:numPr>
          <w:ilvl w:val="0"/>
          <w:numId w:val="1002"/>
        </w:numPr>
        <w:pStyle w:val="Compact"/>
      </w:pPr>
      <w:r>
        <w:rPr>
          <w:iCs/>
          <w:i/>
        </w:rPr>
        <w:t xml:space="preserve">Budget Constraints:</w:t>
      </w:r>
      <w:r>
        <w:t xml:space="preserve"> </w:t>
      </w:r>
      <w:r>
        <w:t xml:space="preserve">Public schools' limited counseling budgets were addressed through our "Tiered Support" model offering scalable packages (Basic: 50 students; Premium: 200+ students). The government-funded pilot program for public schools covered 75% of costs, making our School Counselor services financially viable for all school types.</w:t>
      </w:r>
    </w:p>
    <w:bookmarkEnd w:id="24"/>
    <w:bookmarkStart w:id="25" w:name="X5bc0901219d62fa408bdacc5ffce6f1dbfa3bb4"/>
    <w:p>
      <w:pPr>
        <w:pStyle w:val="Heading2"/>
      </w:pPr>
      <w:r>
        <w:t xml:space="preserve">VI. Future Sales Strategy in Malaysia Kuala Lumpur</w:t>
      </w:r>
    </w:p>
    <w:p>
      <w:pPr>
        <w:pStyle w:val="FirstParagraph"/>
      </w:pPr>
      <w:r>
        <w:t xml:space="preserve">Based on Q3 results, we're accelerating three targeted initiatives:</w:t>
      </w:r>
    </w:p>
    <w:p>
      <w:pPr>
        <w:numPr>
          <w:ilvl w:val="0"/>
          <w:numId w:val="1003"/>
        </w:numPr>
        <w:pStyle w:val="Compact"/>
      </w:pPr>
      <w:r>
        <w:rPr>
          <w:bCs/>
          <w:b/>
        </w:rPr>
        <w:t xml:space="preserve">National Curriculum Alignment:</w:t>
      </w:r>
      <w:r>
        <w:t xml:space="preserve"> </w:t>
      </w:r>
      <w:r>
        <w:t xml:space="preserve">Developing counseling modules that directly support the Ministry's new "Life Skills" curriculum (starting 2024), positioning our School Counselor service as an essential educational tool rather than an add-on.</w:t>
      </w:r>
    </w:p>
    <w:p>
      <w:pPr>
        <w:numPr>
          <w:ilvl w:val="0"/>
          <w:numId w:val="1003"/>
        </w:numPr>
        <w:pStyle w:val="Compact"/>
      </w:pPr>
      <w:r>
        <w:rPr>
          <w:bCs/>
          <w:b/>
        </w:rPr>
        <w:t xml:space="preserve">Digital Expansion:</w:t>
      </w:r>
      <w:r>
        <w:t xml:space="preserve"> </w:t>
      </w:r>
      <w:r>
        <w:t xml:space="preserve">Partnering with Malaysia Digital Economy Corporation (MDEC) to embed our counseling platform into government digital education hubs across KL, targeting 50 schools by Q1 2024.</w:t>
      </w:r>
    </w:p>
    <w:p>
      <w:pPr>
        <w:numPr>
          <w:ilvl w:val="0"/>
          <w:numId w:val="1003"/>
        </w:numPr>
        <w:pStyle w:val="Compact"/>
      </w:pPr>
      <w:r>
        <w:rPr>
          <w:bCs/>
          <w:b/>
        </w:rPr>
        <w:t xml:space="preserve">School Counselor Ambassador Program:</w:t>
      </w:r>
      <w:r>
        <w:t xml:space="preserve"> </w:t>
      </w:r>
      <w:r>
        <w:t xml:space="preserve">Training local Malaysian counselors as certified advocates for our model – creating organic referrals through the Ministry's counselor network. This addresses cultural trust barriers and creates sustainable growth in Malaysia Kuala Lumpur.</w:t>
      </w:r>
    </w:p>
    <w:bookmarkEnd w:id="25"/>
    <w:bookmarkStart w:id="26" w:name="Xe88cafdba78417e7bfef24b47998057e6a0e471"/>
    <w:p>
      <w:pPr>
        <w:pStyle w:val="Heading2"/>
      </w:pPr>
      <w:r>
        <w:t xml:space="preserve">VII. Conclusion: The Strategic Imperative of School Counselor Services</w:t>
      </w:r>
    </w:p>
    <w:p>
      <w:pPr>
        <w:pStyle w:val="FirstParagraph"/>
      </w:pPr>
      <w:r>
        <w:t xml:space="preserve">The Sales Report confirms that investing in School Counselor services is not merely a business opportunity but a strategic necessity for educational excellence in Malaysia Kuala Lumpur. As the Ministry emphasizes mental health as a priority pillar in its 2030 education roadmap, our culturally attuned approach positions GES at the forefront of this transformation. The 37% QoQ growth isn't just revenue – it's measurable impact: 18,456 students now receive culturally appropriate counseling support through our School Counselor network across Kuala Lumpur.</w:t>
      </w:r>
    </w:p>
    <w:p>
      <w:pPr>
        <w:pStyle w:val="BodyText"/>
      </w:pPr>
      <w:r>
        <w:t xml:space="preserve">We strongly recommend doubling down on Malaysia Kuala Lumpur market development. Our localized framework has proven that when School Counselor services respect cultural context while delivering measurable outcomes (reduced absenteeism by 22% in pilot schools, improved student well-being scores), they become indispensable to school success. The time for standard Western models in Malaysia is over; the future belongs to culturally integrated solutions like ours. As we continue our Sales Report journey, we remain committed to elevating educational excellence through human-centered counseling – one school counselor at a time across Malaysia Kuala Lumpur.</w:t>
      </w:r>
    </w:p>
    <w:p>
      <w:pPr>
        <w:pStyle w:val="BodyText"/>
      </w:pPr>
      <w:r>
        <w:rPr>
          <w:bCs/>
          <w:b/>
        </w:rPr>
        <w:t xml:space="preserve">Appendix: Key Client Testimonials (Kuala Lumpur Schools)</w:t>
      </w:r>
    </w:p>
    <w:p>
      <w:pPr>
        <w:numPr>
          <w:ilvl w:val="0"/>
          <w:numId w:val="1004"/>
        </w:numPr>
        <w:pStyle w:val="Compact"/>
      </w:pPr>
      <w:r>
        <w:rPr>
          <w:iCs/>
          <w:i/>
        </w:rPr>
        <w:t xml:space="preserve">"Since implementing GES School Counselor services, our students' academic engagement has improved by 31%. The 'Budaya Bimbingan' framework made counseling feel familiar, not foreign." – Principal, SMK Sri Hartamas</w:t>
      </w:r>
    </w:p>
    <w:p>
      <w:pPr>
        <w:numPr>
          <w:ilvl w:val="0"/>
          <w:numId w:val="1004"/>
        </w:numPr>
        <w:pStyle w:val="Compact"/>
      </w:pPr>
      <w:r>
        <w:rPr>
          <w:iCs/>
          <w:i/>
        </w:rPr>
        <w:t xml:space="preserve">"The digital platform reduced administrative burden while ensuring confidential support. This isn't just a service; it's transforming how we approach student wellness in Malaysia." – Head of Student Affairs, International School Kuala Lumpur</w:t>
      </w:r>
    </w:p>
    <w:p>
      <w:pPr>
        <w:pStyle w:val="FirstParagraph"/>
      </w:pPr>
      <w:r>
        <w:rPr>
          <w:bCs/>
          <w:b/>
        </w:rPr>
        <w:t xml:space="preserve">Word Count:</w:t>
      </w:r>
      <w:r>
        <w:t xml:space="preserve"> </w:t>
      </w:r>
      <w:r>
        <w:t xml:space="preserve">832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 Malaysia Kuala Lumpur</dc:title>
  <dc:creator/>
  <dc:language>en</dc:language>
  <cp:keywords/>
  <dcterms:created xsi:type="dcterms:W3CDTF">2026-07-25T03:29:20Z</dcterms:created>
  <dcterms:modified xsi:type="dcterms:W3CDTF">2026-07-25T03:29:20Z</dcterms:modified>
</cp:coreProperties>
</file>

<file path=docProps/custom.xml><?xml version="1.0" encoding="utf-8"?>
<Properties xmlns="http://schemas.openxmlformats.org/officeDocument/2006/custom-properties" xmlns:vt="http://schemas.openxmlformats.org/officeDocument/2006/docPropsVTypes"/>
</file>