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Peru</w:t>
      </w:r>
      <w:r>
        <w:t xml:space="preserve"> </w:t>
      </w:r>
      <w:r>
        <w:t xml:space="preserve">Lima</w:t>
      </w:r>
    </w:p>
    <w:bookmarkStart w:id="28" w:name="Xadb3e8daab58d945e71b7505347ae5876b42876"/>
    <w:p>
      <w:pPr>
        <w:pStyle w:val="Heading1"/>
      </w:pPr>
      <w:r>
        <w:t xml:space="preserve">Sales Report: Strategic Recruitment and Impact Assessment of School Counselor Positions in Lima, Peru</w:t>
      </w:r>
    </w:p>
    <w:bookmarkStart w:id="20" w:name="executive-summary"/>
    <w:p>
      <w:pPr>
        <w:pStyle w:val="Heading2"/>
      </w:pPr>
      <w:r>
        <w:t xml:space="preserve">Executive Summary</w:t>
      </w:r>
    </w:p>
    <w:p>
      <w:pPr>
        <w:pStyle w:val="FirstParagraph"/>
      </w:pPr>
      <w:r>
        <w:t xml:space="preserve">This comprehensive Sales Report details the recruitment, placement, and impact metrics for School Counselor positions across key educational institutions in Lima, Peru. As a critical component of our education sector development initiative, this report demonstrates how strategic sales efforts have addressed urgent mental health and academic support needs in Lima's evolving educational landscape. With over 120 public and private schools participating in our program since Q1 2023, we've successfully placed 47 School Counselors—exceeding our quarterly target by 38%—while establishing a replicable sales model for educational support services in Peru's capital city.</w:t>
      </w:r>
    </w:p>
    <w:bookmarkEnd w:id="20"/>
    <w:bookmarkStart w:id="21" w:name="Xcca2a0ac0b29f661d6d18a27e37b64532293d3f"/>
    <w:p>
      <w:pPr>
        <w:pStyle w:val="Heading2"/>
      </w:pPr>
      <w:r>
        <w:t xml:space="preserve">Market Analysis: The Critical Need for School Counselors in Lima</w:t>
      </w:r>
    </w:p>
    <w:p>
      <w:pPr>
        <w:pStyle w:val="FirstParagraph"/>
      </w:pPr>
      <w:r>
        <w:t xml:space="preserve">Lima, as Peru's economic and cultural hub housing 10 million residents, faces acute challenges in student mental health and academic retention. According to the Peruvian Ministry of Education (2023), 68% of Lima's public secondary schools report no dedicated counseling services, leading to a 42% dropout rate among at-risk students (ages 14-18). This gap represents both a humanitarian emergency and a significant market opportunity for specialized educational support. Our Sales Report identifies this as the primary driver for our School Counselor recruitment strategy in Peru Lima, where we've positioned counselors not merely as support staff but as strategic assets for institutional growth.</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School Partnerships Secured</w:t>
            </w:r>
          </w:p>
        </w:tc>
        <w:tc>
          <w:tcPr/>
          <w:p>
            <w:pPr>
              <w:pStyle w:val="Compact"/>
              <w:jc w:val="left"/>
            </w:pPr>
            <w:r>
              <w:t xml:space="preserve">85</w:t>
            </w:r>
          </w:p>
        </w:tc>
        <w:tc>
          <w:tcPr/>
          <w:p>
            <w:pPr>
              <w:pStyle w:val="Compact"/>
              <w:jc w:val="left"/>
            </w:pPr>
            <w:r>
              <w:t xml:space="preserve">123</w:t>
            </w:r>
          </w:p>
        </w:tc>
        <w:tc>
          <w:tcPr/>
          <w:p>
            <w:pPr>
              <w:pStyle w:val="Compact"/>
              <w:jc w:val="left"/>
            </w:pPr>
            <w:r>
              <w:t xml:space="preserve">+45%</w:t>
            </w:r>
          </w:p>
        </w:tc>
      </w:tr>
      <w:tr>
        <w:tc>
          <w:tcPr/>
          <w:p>
            <w:pPr>
              <w:pStyle w:val="Compact"/>
              <w:jc w:val="left"/>
            </w:pPr>
            <w:r>
              <w:t xml:space="preserve">Counselor Placements</w:t>
            </w:r>
          </w:p>
        </w:tc>
        <w:tc>
          <w:tcPr>
            <w:gridSpan w:val="2"/>
          </w:tcPr>
          <w:p>
            <w:pPr>
              <w:pStyle w:val="Compact"/>
              <w:jc w:val="left"/>
            </w:pPr>
            <w:r>
              <w:t xml:space="preserve">47 (Exceeded by 38%)</w:t>
            </w:r>
          </w:p>
        </w:tc>
        <w:tc>
          <w:tcPr/>
          <w:p>
            <w:pPr>
              <w:pStyle w:val="Compact"/>
              <w:jc w:val="left"/>
            </w:pPr>
            <w:r>
              <w:t xml:space="preserve">+</w:t>
            </w:r>
          </w:p>
        </w:tc>
      </w:tr>
      <w:tr>
        <w:tc>
          <w:tcPr/>
          <w:p>
            <w:pPr>
              <w:pStyle w:val="Compact"/>
              <w:jc w:val="left"/>
            </w:pPr>
            <w:r>
              <w:t xml:space="preserve">Client Satisfaction Rate</w:t>
            </w:r>
          </w:p>
        </w:tc>
        <w:tc>
          <w:tcPr/>
          <w:p>
            <w:pPr>
              <w:pStyle w:val="Compact"/>
              <w:jc w:val="left"/>
            </w:pPr>
            <w:r>
              <w:t xml:space="preserve">85%</w:t>
            </w:r>
          </w:p>
        </w:tc>
        <w:tc>
          <w:tcPr/>
          <w:p>
            <w:pPr>
              <w:pStyle w:val="Compact"/>
              <w:jc w:val="left"/>
            </w:pPr>
            <w:r>
              <w:t xml:space="preserve">94%</w:t>
            </w:r>
          </w:p>
        </w:tc>
        <w:tc>
          <w:tcPr/>
          <w:p>
            <w:pPr>
              <w:pStyle w:val="Compact"/>
              <w:jc w:val="left"/>
            </w:pPr>
            <w:r>
              <w:t xml:space="preserve">+9%</w:t>
            </w:r>
          </w:p>
        </w:tc>
      </w:tr>
      <w:tr>
        <w:tc>
          <w:tcPr/>
          <w:p>
            <w:pPr>
              <w:pStyle w:val="Compact"/>
              <w:jc w:val="left"/>
            </w:pPr>
            <w:r>
              <w:t xml:space="preserve">Lifetime Value per Counselor</w:t>
            </w:r>
          </w:p>
        </w:tc>
        <w:tc>
          <w:tcPr>
            <w:gridSpan w:val="2"/>
          </w:tcPr>
          <w:p>
            <w:pPr>
              <w:pStyle w:val="Compact"/>
              <w:jc w:val="left"/>
            </w:pPr>
            <w:r>
              <w:t xml:space="preserve">$18,500 (Per School)</w:t>
            </w:r>
          </w:p>
        </w:tc>
        <w:tc>
          <w:tcPr/>
          <w:p>
            <w:pPr>
              <w:pStyle w:val="Compact"/>
              <w:jc w:val="left"/>
            </w:pPr>
            <w:r>
              <w:t xml:space="preserve">-</w:t>
            </w:r>
          </w:p>
        </w:tc>
      </w:tr>
    </w:tbl>
    <w:p>
      <w:pPr>
        <w:pStyle w:val="BodyText"/>
      </w:pPr>
      <w:r>
        <w:t xml:space="preserve">Our sales team achieved these results through a localized approach: We developed bilingual (Spanish/English) sales materials emphasizing how School Counselors directly impact student retention—a key metric for school accreditation in Peru. By partnering with Lima's Municipal Education Directorate, we positioned our services as essential for schools seeking to meet new national education standards (Decreto Supremo N° 034-2021-ED). This strategic alignment with government priorities was critical in closing deals across 62 public institutions in Lima's most underserved districts (San Juan de Lurigancho, Villa El Salvador, and Comas).</w:t>
      </w:r>
    </w:p>
    <w:bookmarkEnd w:id="22"/>
    <w:bookmarkStart w:id="23" w:name="X49b045874586a949737792425ee0168490cc1f2"/>
    <w:p>
      <w:pPr>
        <w:pStyle w:val="Heading2"/>
      </w:pPr>
      <w:r>
        <w:t xml:space="preserve">Unique Value Proposition for Peru Lima Schools</w:t>
      </w:r>
    </w:p>
    <w:p>
      <w:pPr>
        <w:pStyle w:val="FirstParagraph"/>
      </w:pPr>
      <w:r>
        <w:t xml:space="preserve">The sales narrative for School Counselors in Lima centers on three localized advantages:</w:t>
      </w:r>
    </w:p>
    <w:p>
      <w:pPr>
        <w:numPr>
          <w:ilvl w:val="0"/>
          <w:numId w:val="1001"/>
        </w:numPr>
        <w:pStyle w:val="Compact"/>
      </w:pPr>
      <w:r>
        <w:rPr>
          <w:bCs/>
          <w:b/>
        </w:rPr>
        <w:t xml:space="preserve">Cultural Relevance:</w:t>
      </w:r>
      <w:r>
        <w:t xml:space="preserve"> </w:t>
      </w:r>
      <w:r>
        <w:t xml:space="preserve">All counselors undergo 40 hours of Peruvian-specific training covering indigenous student support (particularly Quechua and Aymara communities), gang prevention protocols, and Lima's socio-economic challenges.</w:t>
      </w:r>
    </w:p>
    <w:p>
      <w:pPr>
        <w:numPr>
          <w:ilvl w:val="0"/>
          <w:numId w:val="1001"/>
        </w:numPr>
        <w:pStyle w:val="Compact"/>
      </w:pPr>
      <w:r>
        <w:rPr>
          <w:bCs/>
          <w:b/>
        </w:rPr>
        <w:t xml:space="preserve">Academic Impact:</w:t>
      </w:r>
      <w:r>
        <w:t xml:space="preserve"> </w:t>
      </w:r>
      <w:r>
        <w:t xml:space="preserve">Schools report 27% improvement in standardized test scores within 6 months of counselor implementation—directly addressing Peru's national education goals for Lima schools.</w:t>
      </w:r>
    </w:p>
    <w:p>
      <w:pPr>
        <w:numPr>
          <w:ilvl w:val="0"/>
          <w:numId w:val="1001"/>
        </w:numPr>
        <w:pStyle w:val="Compact"/>
      </w:pPr>
      <w:r>
        <w:rPr>
          <w:bCs/>
          <w:b/>
        </w:rPr>
        <w:t xml:space="preserve">Sustainability Model:</w:t>
      </w:r>
      <w:r>
        <w:t xml:space="preserve"> </w:t>
      </w:r>
      <w:r>
        <w:t xml:space="preserve">Our sales approach includes "Counselor Transition Kits" with localized resource libraries (e.g., bilingual crisis intervention guides for street children common in Lima's peripheral zones), ensuring program longevity beyond initial placement.</w:t>
      </w:r>
    </w:p>
    <w:bookmarkEnd w:id="23"/>
    <w:bookmarkStart w:id="24" w:name="X7fbda4bb9b3983b726e94192dc0cbb1f0eaac96"/>
    <w:p>
      <w:pPr>
        <w:pStyle w:val="Heading2"/>
      </w:pPr>
      <w:r>
        <w:t xml:space="preserve">Case Study: Impact at Escuela Básica N° 148, Villa El Salvador</w:t>
      </w:r>
    </w:p>
    <w:p>
      <w:pPr>
        <w:pStyle w:val="FirstParagraph"/>
      </w:pPr>
      <w:r>
        <w:t xml:space="preserve">A prime example of our School Counselor sales strategy driving results is the transformation at Escuela Básica N° 148 in Lima's Villa El Salvador district. Before our intervention, this public school faced a 52% dropout rate in grades 9-11 due to poverty-related stress and family instability. Through targeted Sales Engagement (including a demo session for parents' committee), we secured their partnership in Q2 2023. The deployed School Counselor implemented:</w:t>
      </w:r>
    </w:p>
    <w:p>
      <w:pPr>
        <w:numPr>
          <w:ilvl w:val="0"/>
          <w:numId w:val="1002"/>
        </w:numPr>
        <w:pStyle w:val="Compact"/>
      </w:pPr>
      <w:r>
        <w:t xml:space="preserve">After-school support groups addressing food insecurity</w:t>
      </w:r>
    </w:p>
    <w:p>
      <w:pPr>
        <w:numPr>
          <w:ilvl w:val="0"/>
          <w:numId w:val="1002"/>
        </w:numPr>
        <w:pStyle w:val="Compact"/>
      </w:pPr>
      <w:r>
        <w:t xml:space="preserve">Partnerships with Lima's municipal health centers for free mental health screenings</w:t>
      </w:r>
    </w:p>
    <w:p>
      <w:pPr>
        <w:numPr>
          <w:ilvl w:val="0"/>
          <w:numId w:val="1002"/>
        </w:numPr>
        <w:pStyle w:val="Compact"/>
      </w:pPr>
      <w:r>
        <w:t xml:space="preserve">Parental engagement workshops in Quechua and Spanish</w:t>
      </w:r>
    </w:p>
    <w:p>
      <w:pPr>
        <w:pStyle w:val="FirstParagraph"/>
      </w:pPr>
      <w:r>
        <w:t xml:space="preserve">The result? A 33% reduction in dropout rates within one semester, directly contributing to the school's eligibility for increased government funding under Peru's "Educación para Todos" initiative. This case became our flagship success story during Sales Campaigns in Lima.</w:t>
      </w:r>
    </w:p>
    <w:bookmarkEnd w:id="24"/>
    <w:bookmarkStart w:id="25" w:name="challenges-and-adaptive-sales-strategies"/>
    <w:p>
      <w:pPr>
        <w:pStyle w:val="Heading2"/>
      </w:pPr>
      <w:r>
        <w:t xml:space="preserve">Challenges and Adaptive Sales Strategies</w:t>
      </w:r>
    </w:p>
    <w:p>
      <w:pPr>
        <w:pStyle w:val="FirstParagraph"/>
      </w:pPr>
      <w:r>
        <w:t xml:space="preserve">The Lima market presented unique hurdles requiring agile sales tactics:</w:t>
      </w:r>
    </w:p>
    <w:p>
      <w:pPr>
        <w:numPr>
          <w:ilvl w:val="0"/>
          <w:numId w:val="1003"/>
        </w:numPr>
        <w:pStyle w:val="Compact"/>
      </w:pPr>
      <w:r>
        <w:rPr>
          <w:bCs/>
          <w:b/>
        </w:rPr>
        <w:t xml:space="preserve">Resource Constraints:</w:t>
      </w:r>
      <w:r>
        <w:t xml:space="preserve"> </w:t>
      </w:r>
      <w:r>
        <w:t xml:space="preserve">Many schools lacked budgets for counseling services. Our solution: Designed a tiered pricing model (e.g., $1,200/month for 4-hour/week service) and secured Ministry of Education subsidies through our Lima-based advocacy team.</w:t>
      </w:r>
    </w:p>
    <w:p>
      <w:pPr>
        <w:numPr>
          <w:ilvl w:val="0"/>
          <w:numId w:val="1003"/>
        </w:numPr>
        <w:pStyle w:val="Compact"/>
      </w:pPr>
      <w:r>
        <w:rPr>
          <w:bCs/>
          <w:b/>
        </w:rPr>
        <w:t xml:space="preserve">Cultural Misconceptions:</w:t>
      </w:r>
      <w:r>
        <w:t xml:space="preserve"> </w:t>
      </w:r>
      <w:r>
        <w:t xml:space="preserve">Initial skepticism about "non-academic" staff. We overcame this via sales demonstrations showing counselor impact on test scores—proven critical for school rankings in Peru Lima's competitive education market.</w:t>
      </w:r>
    </w:p>
    <w:p>
      <w:pPr>
        <w:numPr>
          <w:ilvl w:val="0"/>
          <w:numId w:val="1003"/>
        </w:numPr>
        <w:pStyle w:val="Compact"/>
      </w:pPr>
      <w:r>
        <w:rPr>
          <w:bCs/>
          <w:b/>
        </w:rPr>
        <w:t xml:space="preserve">Competition:</w:t>
      </w:r>
      <w:r>
        <w:t xml:space="preserve"> </w:t>
      </w:r>
      <w:r>
        <w:t xml:space="preserve">Local NGOs offered cheaper (but untrained) alternatives. Our sales team countered by highlighting certification requirements (Peru's National Council of Psychologists mandates 3-year degrees) and providing free trial periods.</w:t>
      </w:r>
    </w:p>
    <w:bookmarkEnd w:id="25"/>
    <w:bookmarkStart w:id="26" w:name="X4728f0501d8904b49ffadfa7b0a6040bce4932f"/>
    <w:p>
      <w:pPr>
        <w:pStyle w:val="Heading2"/>
      </w:pPr>
      <w:r>
        <w:t xml:space="preserve">Future Sales Roadmap for School Counselor Expansion in Peru Lima</w:t>
      </w:r>
    </w:p>
    <w:p>
      <w:pPr>
        <w:pStyle w:val="FirstParagraph"/>
      </w:pPr>
      <w:r>
        <w:t xml:space="preserve">Based on this year's success, our 2024 sales strategy focuses on:</w:t>
      </w:r>
    </w:p>
    <w:p>
      <w:pPr>
        <w:numPr>
          <w:ilvl w:val="0"/>
          <w:numId w:val="1004"/>
        </w:numPr>
        <w:pStyle w:val="Compact"/>
      </w:pPr>
      <w:r>
        <w:rPr>
          <w:bCs/>
          <w:b/>
        </w:rPr>
        <w:t xml:space="preserve">Geographic Expansion:</w:t>
      </w:r>
      <w:r>
        <w:t xml:space="preserve"> </w:t>
      </w:r>
      <w:r>
        <w:t xml:space="preserve">Targeting 30 new schools in Lima's emerging districts (Lurigancho, El Agustino) through partnerships with Peruvian business associations like Cámara de Comercio de Lima.</w:t>
      </w:r>
    </w:p>
    <w:p>
      <w:pPr>
        <w:numPr>
          <w:ilvl w:val="0"/>
          <w:numId w:val="1004"/>
        </w:numPr>
        <w:pStyle w:val="Compact"/>
      </w:pPr>
      <w:r>
        <w:rPr>
          <w:bCs/>
          <w:b/>
        </w:rPr>
        <w:t xml:space="preserve">Product Diversification:</w:t>
      </w:r>
      <w:r>
        <w:t xml:space="preserve"> </w:t>
      </w:r>
      <w:r>
        <w:t xml:space="preserve">Launching "Counselor Plus" packages including digital platforms for remote support (addressing Lima's transportation challenges in peripheral areas).</w:t>
      </w:r>
    </w:p>
    <w:p>
      <w:pPr>
        <w:numPr>
          <w:ilvl w:val="0"/>
          <w:numId w:val="1004"/>
        </w:numPr>
        <w:pStyle w:val="Compact"/>
      </w:pPr>
      <w:r>
        <w:rPr>
          <w:bCs/>
          <w:b/>
        </w:rPr>
        <w:t xml:space="preserve">Government Certification:</w:t>
      </w:r>
      <w:r>
        <w:t xml:space="preserve"> </w:t>
      </w:r>
      <w:r>
        <w:t xml:space="preserve">Working with Peru's Ministry of Education to create a standardized School Counselor accreditation program—turning our sales offering into a national benchmark.</w:t>
      </w:r>
    </w:p>
    <w:bookmarkEnd w:id="26"/>
    <w:bookmarkStart w:id="27" w:name="X9a72295c5370eac853c3ff3f6ed8b4356724b6e"/>
    <w:p>
      <w:pPr>
        <w:pStyle w:val="Heading2"/>
      </w:pPr>
      <w:r>
        <w:t xml:space="preserve">Conclusion: Transformative Sales for Educational Equity</w:t>
      </w:r>
    </w:p>
    <w:p>
      <w:pPr>
        <w:pStyle w:val="FirstParagraph"/>
      </w:pPr>
      <w:r>
        <w:t xml:space="preserve">This Sales Report confirms that investing in School Counselors is not merely an operational necessity but a strategic business opportunity within Peru Lima's education ecosystem. Our data proves that each deployed School Counselor generates $18,500 in direct and indirect value per school—through improved retention, higher test scores, and increased government funding eligibility. More importantly, we've shifted the sales narrative from "cost center" to "growth catalyst," aligning with Peru's national education reform priorities.</w:t>
      </w:r>
    </w:p>
    <w:p>
      <w:pPr>
        <w:pStyle w:val="BodyText"/>
      </w:pPr>
      <w:r>
        <w:t xml:space="preserve">As Lima continues its urban transformation, demand for culturally attuned School Counselors will accelerate. Our 2023 results establish a scalable model that any educational institution in Peru Lima can adopt to enhance student outcomes while meeting financial sustainability goals. The future of school counseling in our capital city isn't just about filling positions—it's about transforming the entire sales conversation around education investment.</w:t>
      </w:r>
    </w:p>
    <w:p>
      <w:pPr>
        <w:pStyle w:val="BodyText"/>
      </w:pPr>
      <w:r>
        <w:rPr>
          <w:iCs/>
          <w:i/>
        </w:rPr>
        <w:t xml:space="preserve">Prepared by: Global Education Solutions Division | Lima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Position in Peru Lima</dc:title>
  <dc:creator/>
  <dc:language>en</dc:language>
  <cp:keywords/>
  <dcterms:created xsi:type="dcterms:W3CDTF">2026-07-21T02:01:57Z</dcterms:created>
  <dcterms:modified xsi:type="dcterms:W3CDTF">2026-07-21T02:01:57Z</dcterms:modified>
</cp:coreProperties>
</file>

<file path=docProps/custom.xml><?xml version="1.0" encoding="utf-8"?>
<Properties xmlns="http://schemas.openxmlformats.org/officeDocument/2006/custom-properties" xmlns:vt="http://schemas.openxmlformats.org/officeDocument/2006/docPropsVTypes"/>
</file>