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Turkey</w:t>
      </w:r>
      <w:r>
        <w:t xml:space="preserve"> </w:t>
      </w:r>
      <w:r>
        <w:t xml:space="preserve">Ankara</w:t>
      </w:r>
    </w:p>
    <w:bookmarkStart w:id="28" w:name="Xb66ec04a60b0a8845d06d46f4c56f0f25fc526b"/>
    <w:p>
      <w:pPr>
        <w:pStyle w:val="Heading1"/>
      </w:pPr>
      <w:r>
        <w:t xml:space="preserve">Comprehensive Sales Report: School Counseling Services Market Analysis &amp; Performance in Turkey Ankara</w:t>
      </w:r>
    </w:p>
    <w:bookmarkStart w:id="20" w:name="executive-summary"/>
    <w:p>
      <w:pPr>
        <w:pStyle w:val="Heading2"/>
      </w:pPr>
      <w:r>
        <w:t xml:space="preserve">Executive Summary</w:t>
      </w:r>
    </w:p>
    <w:p>
      <w:pPr>
        <w:pStyle w:val="FirstParagraph"/>
      </w:pPr>
      <w:r>
        <w:t xml:space="preserve">This Sales Report provides a detailed analysis of the school counseling services market within Turkey, with primary focus on Ankara. As the capital city and educational hub of Turkey, Ankara presents significant growth potential for specialized School Counselor solutions. Our strategic positioning in this sector has yielded remarkable results, with a 37% year-over-year increase in service contracts signed during Q1-Q4 2023. This document underscores how our tailored School Counselor programs address critical educational needs across Ankara's public and private institutions, establishing Turkey Ankara as a flagship market for our services.</w:t>
      </w:r>
    </w:p>
    <w:bookmarkEnd w:id="20"/>
    <w:bookmarkStart w:id="21" w:name="X6030f4f9ee1b2e74297b47c2d00c6df70a11551"/>
    <w:p>
      <w:pPr>
        <w:pStyle w:val="Heading2"/>
      </w:pPr>
      <w:r>
        <w:t xml:space="preserve">Market Context: The Critical Need for School Counselors in Turkey</w:t>
      </w:r>
    </w:p>
    <w:p>
      <w:pPr>
        <w:pStyle w:val="FirstParagraph"/>
      </w:pPr>
      <w:r>
        <w:t xml:space="preserve">In the Turkish education system, the role of a School Counselor has evolved from traditional academic advising to comprehensive student well-being support. With Ankara housing over 1,200 schools and 750,000+ students (Ministry of Education Data, 2023), there's an acute shortage of certified School Counselors—currently at a ratio of 1:857 students versus the recommended WHO standard of 1:250. This gap creates urgent demand for professional counseling services. Our Sales Report confirms that Ankara-based schools are prioritizing mental health initiatives, with 68% of surveyed institutions citing "increased student anxiety" and "academic performance decline" as primary drivers for seeking external School Counselor support.</w:t>
      </w:r>
    </w:p>
    <w:bookmarkEnd w:id="21"/>
    <w:bookmarkStart w:id="22" w:name="Xc1c12f1980078a9b6ecdddb05a831c0aa543136"/>
    <w:p>
      <w:pPr>
        <w:pStyle w:val="Heading2"/>
      </w:pPr>
      <w:r>
        <w:t xml:space="preserve">Sales Performance Highlights (Turkey Ankara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New Contracts Signed</w:t>
            </w:r>
          </w:p>
        </w:tc>
        <w:tc>
          <w:tcPr/>
          <w:p>
            <w:pPr>
              <w:pStyle w:val="Compact"/>
              <w:jc w:val="left"/>
            </w:pPr>
            <w:r>
              <w:t xml:space="preserve">Revenue Generated (₺)</w:t>
            </w:r>
          </w:p>
        </w:tc>
        <w:tc>
          <w:tcPr/>
          <w:p>
            <w:pPr>
              <w:pStyle w:val="Compact"/>
              <w:jc w:val="left"/>
            </w:pPr>
            <w:r>
              <w:t xml:space="preserve">Key School Districts Served</w:t>
            </w:r>
          </w:p>
        </w:tc>
      </w:tr>
      <w:tr>
        <w:tc>
          <w:tcPr/>
          <w:p>
            <w:pPr>
              <w:pStyle w:val="Compact"/>
              <w:jc w:val="left"/>
            </w:pPr>
            <w:r>
              <w:t xml:space="preserve">Q1 2023</w:t>
            </w:r>
          </w:p>
        </w:tc>
        <w:tc>
          <w:tcPr/>
          <w:p>
            <w:pPr>
              <w:pStyle w:val="Compact"/>
              <w:jc w:val="left"/>
            </w:pPr>
            <w:r>
              <w:t xml:space="preserve">12</w:t>
            </w:r>
          </w:p>
        </w:tc>
        <w:tc>
          <w:tcPr/>
          <w:p>
            <w:pPr>
              <w:pStyle w:val="Compact"/>
              <w:jc w:val="left"/>
            </w:pPr>
            <w:r>
              <w:t xml:space="preserve">4,850,000</w:t>
            </w:r>
          </w:p>
        </w:tc>
        <w:tc>
          <w:tcPr/>
          <w:p>
            <w:pPr>
              <w:pStyle w:val="Compact"/>
              <w:jc w:val="left"/>
            </w:pPr>
            <w:r>
              <w:t xml:space="preserve">Ankara Central, Çankaya, Keçiören</w:t>
            </w:r>
          </w:p>
        </w:tc>
      </w:tr>
      <w:tr>
        <w:tc>
          <w:tcPr/>
          <w:p>
            <w:pPr>
              <w:pStyle w:val="Compact"/>
              <w:jc w:val="left"/>
            </w:pPr>
            <w:r>
              <w:t xml:space="preserve">Q2 2023</w:t>
            </w:r>
          </w:p>
        </w:tc>
        <w:tc>
          <w:tcPr/>
          <w:p>
            <w:pPr>
              <w:pStyle w:val="Compact"/>
              <w:jc w:val="left"/>
            </w:pPr>
            <w:r>
              <w:t xml:space="preserve">19</w:t>
            </w:r>
          </w:p>
        </w:tc>
        <w:tc>
          <w:tcPr/>
          <w:p>
            <w:pPr>
              <w:pStyle w:val="Compact"/>
              <w:jc w:val="left"/>
            </w:pPr>
            <w:r>
              <w:t xml:space="preserve">8,215,000</w:t>
            </w:r>
          </w:p>
        </w:tc>
        <w:tc>
          <w:tcPr/>
          <w:p>
            <w:pPr>
              <w:pStyle w:val="Compact"/>
              <w:jc w:val="left"/>
            </w:pPr>
            <w:r>
              <w:t xml:space="preserve">Ankara North, Söğütözü, Yenimahalle</w:t>
            </w:r>
          </w:p>
        </w:tc>
      </w:tr>
      <w:tr>
        <w:tc>
          <w:tcPr/>
          <w:p>
            <w:pPr>
              <w:pStyle w:val="Compact"/>
              <w:jc w:val="left"/>
            </w:pPr>
            <w:r>
              <w:t xml:space="preserve">Q3 2023</w:t>
            </w:r>
          </w:p>
        </w:tc>
        <w:tc>
          <w:tcPr/>
          <w:p>
            <w:pPr>
              <w:pStyle w:val="Compact"/>
              <w:jc w:val="left"/>
            </w:pPr>
            <w:r>
              <w:t xml:space="preserve">24</w:t>
            </w:r>
          </w:p>
        </w:tc>
        <w:tc>
          <w:tcPr/>
          <w:p>
            <w:pPr>
              <w:pStyle w:val="Compact"/>
              <w:jc w:val="left"/>
            </w:pPr>
            <w:r>
              <w:t xml:space="preserve">11,580,000</w:t>
            </w:r>
          </w:p>
        </w:tc>
        <w:tc>
          <w:tcPr/>
          <w:p>
            <w:pPr>
              <w:pStyle w:val="Compact"/>
              <w:jc w:val="left"/>
            </w:pPr>
            <w:r>
              <w:t xml:space="preserve">Bala, Mamak, Gölbaşı</w:t>
            </w:r>
          </w:p>
        </w:tc>
      </w:tr>
      <w:tr>
        <w:tc>
          <w:tcPr/>
          <w:p>
            <w:pPr>
              <w:pStyle w:val="Compact"/>
              <w:jc w:val="left"/>
            </w:pPr>
            <w:r>
              <w:t xml:space="preserve">Q4 2023</w:t>
            </w:r>
          </w:p>
        </w:tc>
        <w:tc>
          <w:tcPr/>
          <w:p>
            <w:pPr>
              <w:pStyle w:val="Compact"/>
              <w:jc w:val="left"/>
            </w:pPr>
            <w:r>
              <w:t xml:space="preserve">31</w:t>
            </w:r>
          </w:p>
        </w:tc>
        <w:tc>
          <w:tcPr/>
          <w:p>
            <w:pPr>
              <w:pStyle w:val="Compact"/>
              <w:jc w:val="left"/>
            </w:pPr>
            <w:r>
              <w:t xml:space="preserve">15,925,000</w:t>
            </w:r>
          </w:p>
        </w:tc>
        <w:tc>
          <w:tcPr/>
          <w:p>
            <w:pPr>
              <w:pStyle w:val="Compact"/>
              <w:jc w:val="left"/>
            </w:pPr>
            <w:r>
              <w:t xml:space="preserve">Taslıceviz, Şehitkamil (Expanded)</w:t>
            </w:r>
          </w:p>
        </w:tc>
      </w:tr>
    </w:tbl>
    <w:p>
      <w:pPr>
        <w:pStyle w:val="BodyText"/>
      </w:pPr>
      <w:r>
        <w:t xml:space="preserve">Our Sales Report demonstrates consistent quarterly growth in Ankara. The 31 new contracts secured in Q4 represent a 67% increase compared to Q1, directly correlating with our targeted outreach to Ankara's Ministry of Education representatives. Notably, the partnership with Gölbaşı District Education Directorate (October 2023) alone added ₺5.2M in revenue—a testament to our ability to align School Counselor services with Turkey's national education priorities.</w:t>
      </w:r>
    </w:p>
    <w:bookmarkEnd w:id="22"/>
    <w:bookmarkStart w:id="23" w:name="Xf4eb11ecddf9bb96526dae86179dc7189cf93d3"/>
    <w:p>
      <w:pPr>
        <w:pStyle w:val="Heading2"/>
      </w:pPr>
      <w:r>
        <w:t xml:space="preserve">Key Drivers of Sales Success in Turkey Ankara</w:t>
      </w:r>
    </w:p>
    <w:p>
      <w:pPr>
        <w:pStyle w:val="FirstParagraph"/>
      </w:pPr>
      <w:r>
        <w:t xml:space="preserve">Three strategic factors have propelled our sales momentum in Ankara:</w:t>
      </w:r>
    </w:p>
    <w:p>
      <w:pPr>
        <w:numPr>
          <w:ilvl w:val="0"/>
          <w:numId w:val="1001"/>
        </w:numPr>
        <w:pStyle w:val="Compact"/>
      </w:pPr>
      <w:r>
        <w:rPr>
          <w:bCs/>
          <w:b/>
        </w:rPr>
        <w:t xml:space="preserve">Cultural Adaptation:</w:t>
      </w:r>
      <w:r>
        <w:t xml:space="preserve"> </w:t>
      </w:r>
      <w:r>
        <w:t xml:space="preserve">Our School Counselor programs integrate Turkish cultural frameworks (e.g., "Sosyal Destek" community models) rather than importing Western systems. This resonated deeply with Ankara schools, as evidenced by our 92% client retention rate.</w:t>
      </w:r>
    </w:p>
    <w:p>
      <w:pPr>
        <w:numPr>
          <w:ilvl w:val="0"/>
          <w:numId w:val="1001"/>
        </w:numPr>
        <w:pStyle w:val="Compact"/>
      </w:pPr>
      <w:r>
        <w:rPr>
          <w:bCs/>
          <w:b/>
        </w:rPr>
        <w:t xml:space="preserve">Government Partnership:</w:t>
      </w:r>
      <w:r>
        <w:t xml:space="preserve"> </w:t>
      </w:r>
      <w:r>
        <w:t xml:space="preserve">Collaborating with Ankara's Provincial Directorate of National Education for the "School Counselor Integration Project" (launched Q3 2023) generated 40% of our total contracts. The program, funded by Turkey's Ministry of National Education, now supports 18 schools in Ankara.</w:t>
      </w:r>
    </w:p>
    <w:p>
      <w:pPr>
        <w:numPr>
          <w:ilvl w:val="0"/>
          <w:numId w:val="1001"/>
        </w:numPr>
        <w:pStyle w:val="Compact"/>
      </w:pPr>
      <w:r>
        <w:rPr>
          <w:bCs/>
          <w:b/>
        </w:rPr>
        <w:t xml:space="preserve">Specialized Training:</w:t>
      </w:r>
      <w:r>
        <w:t xml:space="preserve"> </w:t>
      </w:r>
      <w:r>
        <w:t xml:space="preserve">We developed a certified School Counselor training curriculum aligned with Turkish Psychological Association standards. This allowed us to rapidly deploy qualified professionals—reducing onboarding time by 50% versus competitors in Turkey Ankara markets.</w:t>
      </w:r>
    </w:p>
    <w:bookmarkEnd w:id="23"/>
    <w:bookmarkStart w:id="24" w:name="market-challenges-strategic-responses"/>
    <w:p>
      <w:pPr>
        <w:pStyle w:val="Heading2"/>
      </w:pPr>
      <w:r>
        <w:t xml:space="preserve">Market Challenges &amp; Strategic Responses</w:t>
      </w:r>
    </w:p>
    <w:p>
      <w:pPr>
        <w:pStyle w:val="FirstParagraph"/>
      </w:pPr>
      <w:r>
        <w:t xml:space="preserve">Our Sales Report identifies critical barriers and our solutions:</w:t>
      </w:r>
    </w:p>
    <w:p>
      <w:pPr>
        <w:numPr>
          <w:ilvl w:val="0"/>
          <w:numId w:val="1002"/>
        </w:numPr>
        <w:pStyle w:val="Compact"/>
      </w:pPr>
      <w:r>
        <w:rPr>
          <w:iCs/>
          <w:i/>
        </w:rPr>
        <w:t xml:space="preserve">Challenge:</w:t>
      </w:r>
      <w:r>
        <w:t xml:space="preserve"> </w:t>
      </w:r>
      <w:r>
        <w:t xml:space="preserve">School administrators' skepticism about counseling ROI (per 2023 Ankara school survey, 58% doubted impact on academic outcomes).</w:t>
      </w:r>
    </w:p>
    <w:p>
      <w:pPr>
        <w:numPr>
          <w:ilvl w:val="0"/>
          <w:numId w:val="1002"/>
        </w:numPr>
        <w:pStyle w:val="Compact"/>
      </w:pPr>
      <w:r>
        <w:rPr>
          <w:iCs/>
          <w:i/>
        </w:rPr>
        <w:t xml:space="preserve">Solution:</w:t>
      </w:r>
      <w:r>
        <w:t xml:space="preserve"> </w:t>
      </w:r>
      <w:r>
        <w:t xml:space="preserve">We implemented a "Performance Dashboard" tracking metrics like attendance improvement and exam pass rates. This transformed sales conversations—schools now see School Counselor services as performance drivers, not just support.</w:t>
      </w:r>
    </w:p>
    <w:p>
      <w:pPr>
        <w:numPr>
          <w:ilvl w:val="0"/>
          <w:numId w:val="1002"/>
        </w:numPr>
        <w:pStyle w:val="Compact"/>
      </w:pPr>
      <w:r>
        <w:rPr>
          <w:iCs/>
          <w:i/>
        </w:rPr>
        <w:t xml:space="preserve">Challenge:</w:t>
      </w:r>
      <w:r>
        <w:t xml:space="preserve"> </w:t>
      </w:r>
      <w:r>
        <w:t xml:space="preserve">Budget constraints in Ankara public schools (average 12% annual education budget cuts).</w:t>
      </w:r>
    </w:p>
    <w:p>
      <w:pPr>
        <w:numPr>
          <w:ilvl w:val="0"/>
          <w:numId w:val="1002"/>
        </w:numPr>
        <w:pStyle w:val="Compact"/>
      </w:pPr>
      <w:r>
        <w:rPr>
          <w:iCs/>
          <w:i/>
        </w:rPr>
        <w:t xml:space="preserve">Solution:</w:t>
      </w:r>
      <w:r>
        <w:t xml:space="preserve"> </w:t>
      </w:r>
      <w:r>
        <w:t xml:space="preserve">We launched tiered pricing: "Essential" package for small schools (₺750,000/year), and "Comprehensive" for large districts (including mental health workshops). This increased our addressable market by 31%.</w:t>
      </w:r>
    </w:p>
    <w:bookmarkEnd w:id="24"/>
    <w:bookmarkStart w:id="25" w:name="Xa0e324f0e0d06ad7713d45dc349831a1abcf4bb"/>
    <w:p>
      <w:pPr>
        <w:pStyle w:val="Heading2"/>
      </w:pPr>
      <w:r>
        <w:t xml:space="preserve">Future Sales Strategy: Scaling in Turkey Ankara</w:t>
      </w:r>
    </w:p>
    <w:p>
      <w:pPr>
        <w:pStyle w:val="FirstParagraph"/>
      </w:pPr>
      <w:r>
        <w:t xml:space="preserve">Building on 2023's success, our growth plan focuses on:</w:t>
      </w:r>
    </w:p>
    <w:p>
      <w:pPr>
        <w:numPr>
          <w:ilvl w:val="0"/>
          <w:numId w:val="1003"/>
        </w:numPr>
        <w:pStyle w:val="Compact"/>
      </w:pPr>
      <w:r>
        <w:rPr>
          <w:bCs/>
          <w:b/>
        </w:rPr>
        <w:t xml:space="preserve">Expansion into Ankara's Private Sector:</w:t>
      </w:r>
      <w:r>
        <w:t xml:space="preserve"> </w:t>
      </w:r>
      <w:r>
        <w:t xml:space="preserve">Targeting 50+ international and private schools (currently at 18% penetration) by Q2 2024. These institutions demonstrate higher willingness to pay for specialized School Counselor services.</w:t>
      </w:r>
    </w:p>
    <w:p>
      <w:pPr>
        <w:numPr>
          <w:ilvl w:val="0"/>
          <w:numId w:val="1003"/>
        </w:numPr>
        <w:pStyle w:val="Compact"/>
      </w:pPr>
      <w:r>
        <w:rPr>
          <w:bCs/>
          <w:b/>
        </w:rPr>
        <w:t xml:space="preserve">Digital Integration:</w:t>
      </w:r>
      <w:r>
        <w:t xml:space="preserve"> </w:t>
      </w:r>
      <w:r>
        <w:t xml:space="preserve">Launching "Ankara SchoolCare" app in May 2024—allowing real-time student well-being tracking. Early pilot with Çankaya Municipal Schools showed 33% faster crisis intervention response.</w:t>
      </w:r>
    </w:p>
    <w:p>
      <w:pPr>
        <w:numPr>
          <w:ilvl w:val="0"/>
          <w:numId w:val="1003"/>
        </w:numPr>
        <w:pStyle w:val="Compact"/>
      </w:pPr>
      <w:r>
        <w:rPr>
          <w:bCs/>
          <w:b/>
        </w:rPr>
        <w:t xml:space="preserve">Government Advocacy:</w:t>
      </w:r>
      <w:r>
        <w:t xml:space="preserve"> </w:t>
      </w:r>
      <w:r>
        <w:t xml:space="preserve">Partnering with Ankara's Education Council to advocate for mandatory School Counselor ratios in all Turkish schools. This positions us as industry leaders and unlocks future public sector contracts.</w:t>
      </w:r>
    </w:p>
    <w:bookmarkEnd w:id="25"/>
    <w:bookmarkStart w:id="27" w:name="conclusion-the-ankara-advantage"/>
    <w:p>
      <w:pPr>
        <w:pStyle w:val="Heading2"/>
      </w:pPr>
      <w:r>
        <w:t xml:space="preserve">Conclusion: The Ankara Advantage</w:t>
      </w:r>
    </w:p>
    <w:p>
      <w:pPr>
        <w:pStyle w:val="FirstParagraph"/>
      </w:pPr>
      <w:r>
        <w:t xml:space="preserve">This Sales Report affirms that Turkey Ankara is not just a market but the cornerstone of our regional strategy. The city's concentration of educational policymakers, diverse school demographics, and urgent mental health needs create an unparalleled opportunity for School Counselor services. With 73% of our sales in 2023 originating from Ankara—despite it representing only 18% of Turkey's total schools—we project Ankara to generate ₺45M+ in annual revenue by 2025, accounting for 61% of our national sales. Our success proves that when School Counselor solutions are culturally embedded and strategically aligned with local education systems, they become indispensable assets for Turkish schools. As Turkey's education reform accelerates under the "New Education Model" initiative, Ankara will remain the epicenter where School Counselor services transform student outcomes across Turkey.</w:t>
      </w:r>
    </w:p>
    <w:bookmarkStart w:id="26" w:name="X52a49d49b3a9b0718b029055c393f83426b1dc7"/>
    <w:p>
      <w:pPr>
        <w:pStyle w:val="Heading3"/>
      </w:pPr>
      <w:r>
        <w:t xml:space="preserve">Prepared by: National Education Solutions Division</w:t>
      </w:r>
    </w:p>
    <w:p>
      <w:pPr>
        <w:pStyle w:val="FirstParagraph"/>
      </w:pPr>
      <w:r>
        <w:t xml:space="preserve">Date: February 15, 2024 | Report ID: TR-SC-AR-2024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Counseling Services in Turkey Ankara</dc:title>
  <dc:creator/>
  <dc:language>en</dc:language>
  <cp:keywords/>
  <dcterms:created xsi:type="dcterms:W3CDTF">2026-07-21T08:23:47Z</dcterms:created>
  <dcterms:modified xsi:type="dcterms:W3CDTF">2026-07-21T08:23:47Z</dcterms:modified>
</cp:coreProperties>
</file>

<file path=docProps/custom.xml><?xml version="1.0" encoding="utf-8"?>
<Properties xmlns="http://schemas.openxmlformats.org/officeDocument/2006/custom-properties" xmlns:vt="http://schemas.openxmlformats.org/officeDocument/2006/docPropsVTypes"/>
</file>