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Analysis</w:t>
      </w:r>
      <w:r>
        <w:t xml:space="preserve"> </w:t>
      </w:r>
      <w:r>
        <w:t xml:space="preserve">-</w:t>
      </w:r>
      <w:r>
        <w:t xml:space="preserve"> </w:t>
      </w:r>
      <w:r>
        <w:t xml:space="preserve">Dhaka,</w:t>
      </w:r>
      <w:r>
        <w:t xml:space="preserve"> </w:t>
      </w:r>
      <w:r>
        <w:t xml:space="preserve">Bangladesh</w:t>
      </w:r>
    </w:p>
    <w:bookmarkStart w:id="30" w:name="X0e845898aa4acdf1839a260b452e58f6af74459"/>
    <w:p>
      <w:pPr>
        <w:pStyle w:val="Heading1"/>
      </w:pPr>
      <w:r>
        <w:t xml:space="preserve">Comprehensive Sales Performance Report: Social Worker Services in Dhaka,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Committee, Bangladesh Social Welfare Foundation (BSWF)</w:t>
      </w:r>
      <w:r>
        <w:br/>
      </w:r>
      <w:r>
        <w:rPr>
          <w:bCs/>
          <w:b/>
        </w:rPr>
        <w:t xml:space="preserve">Location:</w:t>
      </w:r>
      <w:r>
        <w:t xml:space="preserve"> </w:t>
      </w:r>
      <w:r>
        <w:t xml:space="preserve">Dhaka, Bangladesh</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frontline Social Workers operating across Dhaka's most vulnerable communities. In Bangladesh's rapidly urbanizing capital city, where over 17 million people reside in densely populated slums and informal settlements, our Social Workers have demonstrated exceptional impact through community-centered service delivery. The report quantifies client engagement metrics (referred to as "service sales" in our operational framework), highlights critical success stories, and outlines strategic opportunities for expanding our social intervention reach throughout Dhaka. This document serves as the primary performance assessment tool for all Social Worker roles within Bangladesh's Dhaka metropolitan area.</w:t>
      </w:r>
    </w:p>
    <w:bookmarkEnd w:id="20"/>
    <w:bookmarkStart w:id="21" w:name="X49bd19d92cfcdedfdcd2644aa58052a0eef9cac"/>
    <w:p>
      <w:pPr>
        <w:pStyle w:val="Heading2"/>
      </w:pPr>
      <w:r>
        <w:t xml:space="preserve">II. Performance Metrics: The Social Worker "Sales" Framework</w:t>
      </w:r>
    </w:p>
    <w:p>
      <w:pPr>
        <w:pStyle w:val="FirstParagraph"/>
      </w:pPr>
      <w:r>
        <w:t xml:space="preserve">In our context, "sales" refers to successful community interventions and service conversions – not commercial transactions. Our Dhaka-based Social Workers achieved remarkable results in this metric-driven model:</w:t>
      </w:r>
    </w:p>
    <w:p>
      <w:pPr>
        <w:numPr>
          <w:ilvl w:val="0"/>
          <w:numId w:val="1001"/>
        </w:numPr>
        <w:pStyle w:val="Compact"/>
      </w:pPr>
      <w:r>
        <w:rPr>
          <w:bCs/>
          <w:b/>
        </w:rPr>
        <w:t xml:space="preserve">Client Acquisition Rate:</w:t>
      </w:r>
      <w:r>
        <w:t xml:space="preserve"> </w:t>
      </w:r>
      <w:r>
        <w:t xml:space="preserve">12,450 new beneficiaries served (a 32% increase from Q2 2023), primarily through neighborhood outreach in Mirpur, Khilgaon, and Tejgaon. This represents our highest quarterly "sales" volume in Bangladesh's Dhaka operations.</w:t>
      </w:r>
    </w:p>
    <w:p>
      <w:pPr>
        <w:numPr>
          <w:ilvl w:val="0"/>
          <w:numId w:val="1001"/>
        </w:numPr>
        <w:pStyle w:val="Compact"/>
      </w:pPr>
      <w:r>
        <w:rPr>
          <w:bCs/>
          <w:b/>
        </w:rPr>
        <w:t xml:space="preserve">Service Conversion Rate:</w:t>
      </w:r>
      <w:r>
        <w:t xml:space="preserve"> </w:t>
      </w:r>
      <w:r>
        <w:t xml:space="preserve">87% of initial contacts progressed to full service engagement – including child protection cases, microloan applications for women entrepreneurs, and mental health consultations at our community centers.</w:t>
      </w:r>
    </w:p>
    <w:p>
      <w:pPr>
        <w:numPr>
          <w:ilvl w:val="0"/>
          <w:numId w:val="1001"/>
        </w:numPr>
        <w:pStyle w:val="Compact"/>
      </w:pPr>
      <w:r>
        <w:rPr>
          <w:bCs/>
          <w:b/>
        </w:rPr>
        <w:t xml:space="preserve">Retention &amp; Repeat Engagement:</w:t>
      </w:r>
      <w:r>
        <w:t xml:space="preserve"> </w:t>
      </w:r>
      <w:r>
        <w:t xml:space="preserve">76% of clients participated in follow-up services, demonstrating strong trust in our Social Workers' commitment to Bangladesh's urban poor.</w:t>
      </w:r>
    </w:p>
    <w:p>
      <w:pPr>
        <w:numPr>
          <w:ilvl w:val="0"/>
          <w:numId w:val="1001"/>
        </w:numPr>
        <w:pStyle w:val="Compact"/>
      </w:pPr>
      <w:r>
        <w:rPr>
          <w:bCs/>
          <w:b/>
        </w:rPr>
        <w:t xml:space="preserve">Community Impact Score:</w:t>
      </w:r>
      <w:r>
        <w:t xml:space="preserve"> </w:t>
      </w:r>
      <w:r>
        <w:t xml:space="preserve">Measured through partner NGOs (BRAC, Dhaka Community Health Network), our Dhaka Social Workers scored 4.8/5 for cultural competence – critical for effective service delivery in Bangladesh's diverse urban landscape.</w:t>
      </w:r>
    </w:p>
    <w:bookmarkEnd w:id="21"/>
    <w:bookmarkStart w:id="25" w:name="Xb6c853949de7500af47684b6c25d6887fe4377f"/>
    <w:p>
      <w:pPr>
        <w:pStyle w:val="Heading2"/>
      </w:pPr>
      <w:r>
        <w:t xml:space="preserve">III. Key Achievements: Social Worker Impact in Dhaka</w:t>
      </w:r>
    </w:p>
    <w:p>
      <w:pPr>
        <w:pStyle w:val="FirstParagraph"/>
      </w:pPr>
      <w:r>
        <w:t xml:space="preserve">The following case studies exemplify how our Social Workers translated "sales" into life-changing outcomes across Dhaka:</w:t>
      </w:r>
    </w:p>
    <w:bookmarkStart w:id="22" w:name="Xc5869a521652ca3639884f8664f73c9c54a5e98"/>
    <w:p>
      <w:pPr>
        <w:pStyle w:val="Heading3"/>
      </w:pPr>
      <w:r>
        <w:t xml:space="preserve">A. Child Protection Initiative (Sukkur Ward, Dhaka)</w:t>
      </w:r>
    </w:p>
    <w:p>
      <w:pPr>
        <w:pStyle w:val="FirstParagraph"/>
      </w:pPr>
      <w:r>
        <w:t xml:space="preserve">Our Social Worker, Ayesha Rahman, identified 28 children in hazardous labor at garment workshops near the Mirpur industrial zone. Through coordinated "sales" of services with Bangladesh's National Child Protection Authority (NCPA), she secured school enrollments for all children and trained 15 factory owners on child labor compliance. This single case generated $42,000 in potential annual income for families through our vocational referral program – a direct "return on social investment" in Dhaka's economic context.</w:t>
      </w:r>
    </w:p>
    <w:bookmarkEnd w:id="22"/>
    <w:bookmarkStart w:id="23" w:name="X5a028754f12653839c797cdfa1906bc903d925f"/>
    <w:p>
      <w:pPr>
        <w:pStyle w:val="Heading3"/>
      </w:pPr>
      <w:r>
        <w:t xml:space="preserve">B. Women's Economic Empowerment Program (Keraniganj District)</w:t>
      </w:r>
    </w:p>
    <w:p>
      <w:pPr>
        <w:pStyle w:val="FirstParagraph"/>
      </w:pPr>
      <w:r>
        <w:t xml:space="preserve">Senior Social Worker Mohammad Ali facilitated 412 microloans for women artisans through our partnership with BRAC. His "sales pitch" focused on sustainable income generation – teaching traditional embroidery skills while connecting participants to Dhaka's export markets. Within three months, these clients generated an aggregate of $187,000 in household income, directly lifting 326 people out of extreme poverty (measured against Bangladesh's National Poverty Line).</w:t>
      </w:r>
    </w:p>
    <w:bookmarkEnd w:id="23"/>
    <w:bookmarkStart w:id="24" w:name="X1d1193697e13d60e8c302259a17339b5adc7073"/>
    <w:p>
      <w:pPr>
        <w:pStyle w:val="Heading3"/>
      </w:pPr>
      <w:r>
        <w:t xml:space="preserve">C. Mental Health Outreach (Shahbagh Community Center)</w:t>
      </w:r>
    </w:p>
    <w:p>
      <w:pPr>
        <w:pStyle w:val="FirstParagraph"/>
      </w:pPr>
      <w:r>
        <w:t xml:space="preserve">During Dhaka's peak monsoon season, Social Worker Fatima Akhtar conducted mobile clinics addressing trauma in flood-affected families. Her "service sales" strategy – combining empathetic listening with referral to government health centers – resulted in 94% of clients accessing follow-up care. This initiative prevented 37 potential suicide cases and reduced community anxiety levels by 61% (per post-intervention surveys).</w:t>
      </w:r>
    </w:p>
    <w:bookmarkEnd w:id="24"/>
    <w:bookmarkEnd w:id="25"/>
    <w:bookmarkStart w:id="26" w:name="iv.-dhaka-specific-challenges-solutions"/>
    <w:p>
      <w:pPr>
        <w:pStyle w:val="Heading2"/>
      </w:pPr>
      <w:r>
        <w:t xml:space="preserve">IV. Dhaka-Specific Challenges &amp; Solutions</w:t>
      </w:r>
    </w:p>
    <w:p>
      <w:pPr>
        <w:pStyle w:val="FirstParagraph"/>
      </w:pPr>
      <w:r>
        <w:t xml:space="preserve">Operating in Bangladesh's capital presents unique obstacles our Social Workers overcome daily:</w:t>
      </w:r>
    </w:p>
    <w:p>
      <w:pPr>
        <w:numPr>
          <w:ilvl w:val="0"/>
          <w:numId w:val="1002"/>
        </w:numPr>
        <w:pStyle w:val="Compact"/>
      </w:pPr>
      <w:r>
        <w:rPr>
          <w:bCs/>
          <w:b/>
        </w:rPr>
        <w:t xml:space="preserve">Urban Density Challenges:</w:t>
      </w:r>
      <w:r>
        <w:t xml:space="preserve"> </w:t>
      </w:r>
      <w:r>
        <w:t xml:space="preserve">Dhaka's population density (37,000 people/km²) required Social Workers to develop hyper-localized outreach. Solution: Implemented "block captain" system where each Worker manages 15-20 households in specific slum clusters.</w:t>
      </w:r>
    </w:p>
    <w:p>
      <w:pPr>
        <w:numPr>
          <w:ilvl w:val="0"/>
          <w:numId w:val="1002"/>
        </w:numPr>
        <w:pStyle w:val="Compact"/>
      </w:pPr>
      <w:r>
        <w:rPr>
          <w:bCs/>
          <w:b/>
        </w:rPr>
        <w:t xml:space="preserve">Cultural Barriers:</w:t>
      </w:r>
      <w:r>
        <w:t xml:space="preserve"> </w:t>
      </w:r>
      <w:r>
        <w:t xml:space="preserve">Traditional gender roles hindered women's access to services. Solution: Trained female Social Workers (78% of Dhaka team) for community engagement, increasing female client acquisition by 43%.</w:t>
      </w:r>
    </w:p>
    <w:p>
      <w:pPr>
        <w:numPr>
          <w:ilvl w:val="0"/>
          <w:numId w:val="1002"/>
        </w:numPr>
        <w:pStyle w:val="Compact"/>
      </w:pPr>
      <w:r>
        <w:rPr>
          <w:bCs/>
          <w:b/>
        </w:rPr>
        <w:t xml:space="preserve">Infrastructure Limitations:</w:t>
      </w:r>
      <w:r>
        <w:t xml:space="preserve"> </w:t>
      </w:r>
      <w:r>
        <w:t xml:space="preserve">Poor road networks delayed emergency responses. Solution: Deployed motorcycle teams in all Dhaka districts, reducing response time from 4 hours to 1 hour during crises.</w:t>
      </w:r>
    </w:p>
    <w:bookmarkEnd w:id="26"/>
    <w:bookmarkStart w:id="27" w:name="X15eb00f88f11181a679f4f9af4fe2c1c0a12bcb"/>
    <w:p>
      <w:pPr>
        <w:pStyle w:val="Heading2"/>
      </w:pPr>
      <w:r>
        <w:t xml:space="preserve">V. Strategic Recommendations for Bangladesh Dhaka Operations</w:t>
      </w:r>
    </w:p>
    <w:p>
      <w:pPr>
        <w:pStyle w:val="FirstParagraph"/>
      </w:pPr>
      <w:r>
        <w:t xml:space="preserve">To amplify our Social Worker "sales" performance across Bangladesh's most critical urban market:</w:t>
      </w:r>
    </w:p>
    <w:p>
      <w:pPr>
        <w:numPr>
          <w:ilvl w:val="0"/>
          <w:numId w:val="1003"/>
        </w:numPr>
        <w:pStyle w:val="Compact"/>
      </w:pPr>
      <w:r>
        <w:rPr>
          <w:bCs/>
          <w:b/>
        </w:rPr>
        <w:t xml:space="preserve">Scale Telehealth Integration:</w:t>
      </w:r>
      <w:r>
        <w:t xml:space="preserve"> </w:t>
      </w:r>
      <w:r>
        <w:t xml:space="preserve">Partner with Banglalink to deploy SMS-based mental health consultations, targeting 10,000 additional Dhaka residents by Q1 2024.</w:t>
      </w:r>
    </w:p>
    <w:p>
      <w:pPr>
        <w:numPr>
          <w:ilvl w:val="0"/>
          <w:numId w:val="1003"/>
        </w:numPr>
        <w:pStyle w:val="Compact"/>
      </w:pPr>
      <w:r>
        <w:rPr>
          <w:bCs/>
          <w:b/>
        </w:rPr>
        <w:t xml:space="preserve">Expand Corporate Social Responsibility (CSR) Partnerships:</w:t>
      </w:r>
      <w:r>
        <w:t xml:space="preserve"> </w:t>
      </w:r>
      <w:r>
        <w:t xml:space="preserve">Secure commitments from Dhaka-based multinationals (e.g., Beximco, Square Pharmaceuticals) for co-funded "sales" initiatives, targeting 50 new service points in industrial zones.</w:t>
      </w:r>
    </w:p>
    <w:p>
      <w:pPr>
        <w:numPr>
          <w:ilvl w:val="0"/>
          <w:numId w:val="1003"/>
        </w:numPr>
        <w:pStyle w:val="Compact"/>
      </w:pPr>
      <w:r>
        <w:rPr>
          <w:bCs/>
          <w:b/>
        </w:rPr>
        <w:t xml:space="preserve">Cultural Sensitivity Certification:</w:t>
      </w:r>
      <w:r>
        <w:t xml:space="preserve"> </w:t>
      </w:r>
      <w:r>
        <w:t xml:space="preserve">Mandate training on Bengali dialect nuances for all new Social Workers deployed to Dhaka, addressing current gaps in rural-urban communication (currently affecting 18% of initial client engagements).</w:t>
      </w:r>
    </w:p>
    <w:bookmarkEnd w:id="27"/>
    <w:bookmarkStart w:id="29" w:name="Xecc3f648db4c378f59fe00a859701ac27b8ea61"/>
    <w:p>
      <w:pPr>
        <w:pStyle w:val="Heading2"/>
      </w:pPr>
      <w:r>
        <w:t xml:space="preserve">VI. Conclusion: The Social Worker as Catalyst for Bangladesh's Urban Progress</w:t>
      </w:r>
    </w:p>
    <w:p>
      <w:pPr>
        <w:pStyle w:val="FirstParagraph"/>
      </w:pPr>
      <w:r>
        <w:t xml:space="preserve">This Sales Report confirms that our Social Workers are indispensable assets in Dhaka, Bangladesh's economic engine. Their work transcends mere "service delivery" – it represents the human infrastructure enabling social mobility in a city where 14% of residents live on less than $1.90/day. The 32% increase in client acquisition demonstrates that our community-first approach resonates powerfully with Dhaka's population, making each Social Worker not just an employee, but a catalyst for sustainable development.</w:t>
      </w:r>
    </w:p>
    <w:p>
      <w:pPr>
        <w:pStyle w:val="BodyText"/>
      </w:pPr>
      <w:r>
        <w:t xml:space="preserve">As Bangladesh urbanizes at the fastest rate globally (projected 67% urban population by 2030), our Social Workers will remain frontline defenders against poverty cycles. This report's success metrics – measured in lives transformed rather than monetary sales – prove that investing in human-centered "sales" strategies delivers exponential returns for Dhaka's most marginalized citizens. We recommend doubling the Dhaka Social Worker allocation budget from the current 18% to 25% of BSWF's total operations funding, recognizing that these frontline professionals are our single most effective tool for advancing social equity across Bangladesh's capital.</w:t>
      </w:r>
    </w:p>
    <w:p>
      <w:pPr>
        <w:pStyle w:val="BodyText"/>
      </w:pPr>
      <w:r>
        <w:rPr>
          <w:bCs/>
          <w:b/>
        </w:rPr>
        <w:t xml:space="preserve">Prepared By:</w:t>
      </w:r>
      <w:r>
        <w:t xml:space="preserve"> </w:t>
      </w:r>
      <w:r>
        <w:t xml:space="preserve">Anwar Ahmed, Head of Community Development</w:t>
      </w:r>
      <w:r>
        <w:br/>
      </w:r>
      <w:r>
        <w:rPr>
          <w:bCs/>
          <w:b/>
        </w:rPr>
        <w:t xml:space="preserve">Organization:</w:t>
      </w:r>
      <w:r>
        <w:t xml:space="preserve"> </w:t>
      </w:r>
      <w:r>
        <w:t xml:space="preserve">Bangladesh Social Welfare Foundation (BSWF)</w:t>
      </w:r>
      <w:r>
        <w:br/>
      </w:r>
      <w:r>
        <w:rPr>
          <w:bCs/>
          <w:b/>
        </w:rPr>
        <w:t xml:space="preserve">Contact:</w:t>
      </w:r>
      <w:r>
        <w:t xml:space="preserve"> </w:t>
      </w:r>
      <w:r>
        <w:t xml:space="preserve">anwar.ahmed@bswf.org.bd | +880 1712 345678</w:t>
      </w:r>
    </w:p>
    <w:bookmarkStart w:id="28" w:name="Xe533bd71c47a423f47fcd2fb9c35b9a2706b9db"/>
    <w:p>
      <w:pPr>
        <w:pStyle w:val="Heading3"/>
      </w:pPr>
      <w:r>
        <w:t xml:space="preserve">Appendix: Dhaka Social Worker Performance Dashboard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Area</w:t>
            </w:r>
          </w:p>
        </w:tc>
        <w:tc>
          <w:tcPr/>
          <w:p>
            <w:pPr>
              <w:pStyle w:val="Compact"/>
              <w:jc w:val="left"/>
            </w:pPr>
            <w:r>
              <w:t xml:space="preserve">New Clients</w:t>
            </w:r>
          </w:p>
        </w:tc>
        <w:tc>
          <w:tcPr/>
          <w:p>
            <w:pPr>
              <w:pStyle w:val="Compact"/>
              <w:jc w:val="left"/>
            </w:pPr>
            <w:r>
              <w:t xml:space="preserve">Service Conversion %</w:t>
            </w:r>
          </w:p>
        </w:tc>
        <w:tc>
          <w:tcPr/>
          <w:p>
            <w:pPr>
              <w:pStyle w:val="Compact"/>
              <w:jc w:val="left"/>
            </w:pPr>
            <w:r>
              <w:t xml:space="preserve">% Growth vs Q2 2023</w:t>
            </w:r>
          </w:p>
        </w:tc>
      </w:tr>
      <w:tr>
        <w:tc>
          <w:tcPr/>
          <w:p>
            <w:pPr>
              <w:pStyle w:val="Compact"/>
              <w:jc w:val="left"/>
            </w:pPr>
            <w:r>
              <w:t xml:space="preserve">Mirpur (Industrial Zone)</w:t>
            </w:r>
          </w:p>
        </w:tc>
        <w:tc>
          <w:tcPr/>
          <w:p>
            <w:pPr>
              <w:pStyle w:val="Compact"/>
              <w:jc w:val="left"/>
            </w:pPr>
            <w:r>
              <w:t xml:space="preserve">3,185</w:t>
            </w:r>
          </w:p>
        </w:tc>
        <w:tc>
          <w:tcPr/>
          <w:p>
            <w:pPr>
              <w:pStyle w:val="Compact"/>
              <w:jc w:val="left"/>
            </w:pPr>
            <w:r>
              <w:t xml:space="preserve">89%</w:t>
            </w:r>
          </w:p>
        </w:tc>
        <w:tc>
          <w:tcPr/>
          <w:p>
            <w:pPr>
              <w:pStyle w:val="Compact"/>
              <w:jc w:val="left"/>
            </w:pPr>
            <w:r>
              <w:t xml:space="preserve">+41%</w:t>
            </w:r>
          </w:p>
        </w:tc>
      </w:tr>
      <w:tr>
        <w:tc>
          <w:tcPr/>
          <w:p>
            <w:pPr>
              <w:pStyle w:val="Compact"/>
              <w:jc w:val="left"/>
            </w:pPr>
            <w:r>
              <w:t xml:space="preserve">Keraniganj (Rural-Urban Fringe)</w:t>
            </w:r>
          </w:p>
        </w:tc>
        <w:tc>
          <w:tcPr/>
          <w:p>
            <w:pPr>
              <w:pStyle w:val="Compact"/>
              <w:jc w:val="left"/>
            </w:pPr>
            <w:r>
              <w:t xml:space="preserve">2,760</w:t>
            </w:r>
          </w:p>
        </w:tc>
        <w:tc>
          <w:tcPr/>
          <w:p>
            <w:pPr>
              <w:pStyle w:val="Compact"/>
              <w:jc w:val="left"/>
            </w:pPr>
            <w:r>
              <w:t xml:space="preserve">85%</w:t>
            </w:r>
          </w:p>
        </w:tc>
        <w:tc>
          <w:tcPr/>
          <w:p>
            <w:pPr>
              <w:pStyle w:val="Compact"/>
              <w:jc w:val="left"/>
            </w:pPr>
            <w:r>
              <w:t xml:space="preserve">+29%</w:t>
            </w:r>
          </w:p>
        </w:tc>
      </w:tr>
      <w:tr>
        <w:tc>
          <w:tcPr/>
          <w:p>
            <w:pPr>
              <w:pStyle w:val="Compact"/>
              <w:jc w:val="left"/>
            </w:pPr>
            <w:r>
              <w:t xml:space="preserve">Shahbagh (Densely Populated)</w:t>
            </w:r>
          </w:p>
        </w:tc>
        <w:tc>
          <w:tcPr/>
          <w:p>
            <w:pPr>
              <w:pStyle w:val="Compact"/>
              <w:jc w:val="left"/>
            </w:pPr>
            <w:r>
              <w:t xml:space="preserve">3,812</w:t>
            </w:r>
          </w:p>
        </w:tc>
        <w:tc>
          <w:tcPr/>
          <w:p>
            <w:pPr>
              <w:pStyle w:val="Compact"/>
              <w:jc w:val="left"/>
            </w:pPr>
            <w:r>
              <w:t xml:space="preserve">83%</w:t>
            </w:r>
          </w:p>
        </w:tc>
        <w:tc>
          <w:tcPr/>
          <w:p>
            <w:pPr>
              <w:pStyle w:val="Compact"/>
              <w:jc w:val="left"/>
            </w:pPr>
            <w:r>
              <w:t xml:space="preserve">+37%</w:t>
            </w:r>
          </w:p>
        </w:tc>
      </w:tr>
      <w:tr>
        <w:tc>
          <w:tcPr/>
          <w:p>
            <w:pPr>
              <w:pStyle w:val="Compact"/>
              <w:jc w:val="left"/>
            </w:pPr>
            <w:r>
              <w:t xml:space="preserve">Total Dhaka</w:t>
            </w:r>
          </w:p>
        </w:tc>
        <w:tc>
          <w:tcPr/>
          <w:p>
            <w:pPr>
              <w:pStyle w:val="Compact"/>
              <w:jc w:val="left"/>
            </w:pPr>
            <w:r>
              <w:t xml:space="preserve">12,450</w:t>
            </w:r>
          </w:p>
        </w:tc>
        <w:tc>
          <w:tcPr/>
          <w:p>
            <w:pPr>
              <w:pStyle w:val="Compact"/>
              <w:jc w:val="left"/>
            </w:pPr>
            <w:r>
              <w:t xml:space="preserve">87%</w:t>
            </w:r>
          </w:p>
        </w:tc>
        <w:tc>
          <w:tcPr/>
          <w:p>
            <w:pPr>
              <w:pStyle w:val="Compact"/>
              <w:jc w:val="left"/>
            </w:pPr>
            <w:r>
              <w:t xml:space="preserve">+32%</w:t>
            </w:r>
          </w:p>
        </w:tc>
      </w:tr>
    </w:tbl>
    <w:p>
      <w:pPr>
        <w:pStyle w:val="BodyText"/>
      </w:pPr>
      <w:r>
        <w:rPr>
          <w:iCs/>
          <w:i/>
        </w:rPr>
        <w:t xml:space="preserve">This Sales Report aligns with Bangladesh's National Social Welfare Policy 2019 and Dhaka City Corporation's Urban Development Master Plan 2041. All data verified by BSWF's Dhaka Field Office.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Analysis - Dhaka, Bangladesh</dc:title>
  <dc:creator/>
  <dc:language>en</dc:language>
  <cp:keywords/>
  <dcterms:created xsi:type="dcterms:W3CDTF">2026-07-23T23:14:50Z</dcterms:created>
  <dcterms:modified xsi:type="dcterms:W3CDTF">2026-07-23T23:14:50Z</dcterms:modified>
</cp:coreProperties>
</file>

<file path=docProps/custom.xml><?xml version="1.0" encoding="utf-8"?>
<Properties xmlns="http://schemas.openxmlformats.org/officeDocument/2006/custom-properties" xmlns:vt="http://schemas.openxmlformats.org/officeDocument/2006/docPropsVTypes"/>
</file>