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8" w:name="Xe77e02cb235b2cd33bff874ef5148e2276d8364"/>
    <w:p>
      <w:pPr>
        <w:pStyle w:val="Heading1"/>
      </w:pPr>
      <w:r>
        <w:t xml:space="preserve">SALES REPORT: SOCIAL WORKER RECRUITMENT AND MARKET ANALYSIS - BELGIUM BRUSSELS</w:t>
      </w:r>
    </w:p>
    <w:p>
      <w:pPr>
        <w:pStyle w:val="FirstParagraph"/>
      </w:pPr>
      <w:r>
        <w:t xml:space="preserve">Prepared for Stakeholders in Social Care &amp; Community Services | Q3 2023</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opportunities for Social Worker placements across Belgium Brussels. The Brussels region continues to experience critical demand for qualified social care professionals, with our agency achieving a 15% year-on-year growth in successful placements during Q3 2023. This report demonstrates how targeted recruitment strategies aligned with local regulatory requirements have positioned us as the leading partner for social worker deployment in the Belgian capital. With Brussels serving as the administrative heart of both Belgium and the European Union, this market presents unique opportunities requiring specialized sales approaches for Social Worker roles.</w:t>
      </w:r>
    </w:p>
    <w:bookmarkEnd w:id="20"/>
    <w:bookmarkStart w:id="22" w:name="X54edd06c320bfaa26ffed42c49cafa112c1b7ce"/>
    <w:p>
      <w:pPr>
        <w:pStyle w:val="Heading2"/>
      </w:pPr>
      <w:r>
        <w:t xml:space="preserve">Market Demand Analysis: Social Workers in Belgium Brussels</w:t>
      </w:r>
    </w:p>
    <w:p>
      <w:pPr>
        <w:pStyle w:val="FirstParagraph"/>
      </w:pPr>
      <w:r>
        <w:t xml:space="preserve">Brussels faces a significant shortage of licensed social workers across public and private sectors, driven by aging demographics, complex migration patterns, and expanded EU social welfare initiatives. According to the Belgian Federal Public Service Employment (FPS Employment), demand for Social Workers in Brussels has increased by 22% since 2020. Our Q3 sales data confirms this trend: 68 new Social Worker positions were successfully filled within Brussels municipalities alone, representing a 19% increase from the previous quarter.</w:t>
      </w:r>
    </w:p>
    <w:bookmarkStart w:id="21" w:name="key-demand-sectors-in-brussels"/>
    <w:p>
      <w:pPr>
        <w:pStyle w:val="Heading3"/>
      </w:pPr>
      <w:r>
        <w:t xml:space="preserve">Key Demand Sectors in Brussels</w:t>
      </w:r>
    </w:p>
    <w:p>
      <w:pPr>
        <w:numPr>
          <w:ilvl w:val="0"/>
          <w:numId w:val="1001"/>
        </w:numPr>
        <w:pStyle w:val="Compact"/>
      </w:pPr>
      <w:r>
        <w:rPr>
          <w:bCs/>
          <w:b/>
        </w:rPr>
        <w:t xml:space="preserve">Public Services:</w:t>
      </w:r>
      <w:r>
        <w:t xml:space="preserve"> </w:t>
      </w:r>
      <w:r>
        <w:t xml:space="preserve">Child protection agencies (e.g., SPF Social Affairs) require 45% of all placements</w:t>
      </w:r>
    </w:p>
    <w:p>
      <w:pPr>
        <w:numPr>
          <w:ilvl w:val="0"/>
          <w:numId w:val="1001"/>
        </w:numPr>
        <w:pStyle w:val="Compact"/>
      </w:pPr>
      <w:r>
        <w:rPr>
          <w:bCs/>
          <w:b/>
        </w:rPr>
        <w:t xml:space="preserve">Migrant Integration Centers:</w:t>
      </w:r>
      <w:r>
        <w:t xml:space="preserve"> </w:t>
      </w:r>
      <w:r>
        <w:t xml:space="preserve">Post-EU migration policies drive 30% of demand</w:t>
      </w:r>
    </w:p>
    <w:p>
      <w:pPr>
        <w:numPr>
          <w:ilvl w:val="0"/>
          <w:numId w:val="1001"/>
        </w:numPr>
        <w:pStyle w:val="Compact"/>
      </w:pPr>
      <w:r>
        <w:rPr>
          <w:bCs/>
          <w:b/>
        </w:rPr>
        <w:t xml:space="preserve">Nursing Homes &amp; Elderly Care:</w:t>
      </w:r>
      <w:r>
        <w:t xml:space="preserve"> </w:t>
      </w:r>
      <w:r>
        <w:t xml:space="preserve">18% growth in specialized social worker roles</w:t>
      </w:r>
    </w:p>
    <w:p>
      <w:pPr>
        <w:pStyle w:val="FirstParagraph"/>
      </w:pPr>
      <w:r>
        <w:t xml:space="preserve">The Belgian Social Work profession requires strict adherence to the</w:t>
      </w:r>
      <w:r>
        <w:t xml:space="preserve"> </w:t>
      </w:r>
      <w:r>
        <w:rPr>
          <w:iCs/>
          <w:i/>
        </w:rPr>
        <w:t xml:space="preserve">Act of 17 June 2008 on Professional Regulation</w:t>
      </w:r>
      <w:r>
        <w:t xml:space="preserve">. Unlike other European markets, Brussels mandates bilingual proficiency (French/Dutch) and specific certification from the</w:t>
      </w:r>
      <w:r>
        <w:t xml:space="preserve"> </w:t>
      </w:r>
      <w:r>
        <w:rPr>
          <w:iCs/>
          <w:i/>
        </w:rPr>
        <w:t xml:space="preserve">Belgian Council for Social Workers</w:t>
      </w:r>
      <w:r>
        <w:t xml:space="preserve">. Our sales team has successfully navigated this complexity, reducing placement time by 35% through pre-verification of candidate credentials against Belgian standards. This regulatory precision directly translates to our competitive sales advantage in the Brussels market.</w:t>
      </w:r>
    </w:p>
    <w:bookmarkEnd w:id="21"/>
    <w:bookmarkEnd w:id="22"/>
    <w:bookmarkStart w:id="24"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Placement Category</w:t>
            </w:r>
          </w:p>
        </w:tc>
        <w:tc>
          <w:tcPr/>
          <w:p>
            <w:pPr>
              <w:pStyle w:val="Compact"/>
              <w:jc w:val="left"/>
            </w:pPr>
            <w:r>
              <w:t xml:space="preserve">Q3 Targets</w:t>
            </w:r>
          </w:p>
        </w:tc>
        <w:tc>
          <w:tcPr/>
          <w:p>
            <w:pPr>
              <w:pStyle w:val="Compact"/>
              <w:jc w:val="left"/>
            </w:pPr>
            <w:r>
              <w:t xml:space="preserve">Actual Placements</w:t>
            </w:r>
          </w:p>
        </w:tc>
        <w:tc>
          <w:tcPr/>
          <w:p>
            <w:pPr>
              <w:pStyle w:val="Compact"/>
              <w:jc w:val="left"/>
            </w:pPr>
            <w:r>
              <w:t xml:space="preserve">Success Rate</w:t>
            </w:r>
          </w:p>
        </w:tc>
        <w:tc>
          <w:tcPr/>
          <w:p>
            <w:pPr>
              <w:pStyle w:val="Compact"/>
              <w:jc w:val="left"/>
            </w:pPr>
            <w:r>
              <w:t xml:space="preserve">% of Total Sales Volume</w:t>
            </w:r>
          </w:p>
        </w:tc>
        <w:tc>
          <w:tcPr/>
          <w:p>
            <w:pPr>
              <w:pStyle w:val="Compact"/>
            </w:pPr>
          </w:p>
        </w:tc>
      </w:tr>
      <w:tr>
        <w:tc>
          <w:tcPr/>
          <w:p>
            <w:pPr>
              <w:pStyle w:val="Compact"/>
              <w:jc w:val="left"/>
            </w:pPr>
            <w:r>
              <w:t xml:space="preserve">Public Sector Social Workers (Brussels Administration)</w:t>
            </w:r>
          </w:p>
        </w:tc>
        <w:tc>
          <w:tcPr/>
          <w:p>
            <w:pPr>
              <w:pStyle w:val="Compact"/>
              <w:jc w:val="left"/>
            </w:pPr>
            <w:r>
              <w:t xml:space="preserve">32</w:t>
            </w:r>
          </w:p>
        </w:tc>
        <w:tc>
          <w:tcPr/>
          <w:p>
            <w:pPr>
              <w:pStyle w:val="Compact"/>
              <w:jc w:val="left"/>
            </w:pPr>
            <w:r>
              <w:t xml:space="preserve">35</w:t>
            </w:r>
          </w:p>
        </w:tc>
        <w:tc>
          <w:tcPr/>
          <w:p>
            <w:pPr>
              <w:pStyle w:val="Compact"/>
              <w:jc w:val="left"/>
            </w:pPr>
            <w:r>
              <w:t xml:space="preserve">109%</w:t>
            </w:r>
          </w:p>
        </w:tc>
        <w:tc>
          <w:tcPr/>
          <w:p>
            <w:pPr>
              <w:pStyle w:val="Compact"/>
              <w:jc w:val="left"/>
            </w:pPr>
            <w:r>
              <w:t xml:space="preserve">51.5%</w:t>
            </w:r>
          </w:p>
        </w:tc>
        <w:tc>
          <w:tcPr/>
          <w:p>
            <w:pPr>
              <w:pStyle w:val="Compact"/>
            </w:pPr>
          </w:p>
        </w:tc>
      </w:tr>
      <w:tr>
        <w:tc>
          <w:tcPr/>
          <w:p>
            <w:pPr>
              <w:pStyle w:val="Compact"/>
              <w:jc w:val="left"/>
            </w:pPr>
            <w:r>
              <w:t xml:space="preserve">Migrant Support Organizations</w:t>
            </w:r>
          </w:p>
        </w:tc>
        <w:tc>
          <w:tcPr/>
          <w:p>
            <w:pPr>
              <w:pStyle w:val="Compact"/>
              <w:jc w:val="left"/>
            </w:pPr>
            <w:r>
              <w:t xml:space="preserve">24</w:t>
            </w:r>
          </w:p>
        </w:tc>
        <w:tc>
          <w:tcPr/>
          <w:p>
            <w:pPr>
              <w:pStyle w:val="Compact"/>
              <w:jc w:val="left"/>
            </w:pPr>
            <w:r>
              <w:t xml:space="preserve">27</w:t>
            </w:r>
          </w:p>
        </w:tc>
        <w:tc>
          <w:tcPr/>
          <w:p>
            <w:pPr>
              <w:pStyle w:val="Compact"/>
              <w:jc w:val="left"/>
            </w:pPr>
            <w:r>
              <w:t xml:space="preserve">112.5%</w:t>
            </w:r>
          </w:p>
        </w:tc>
        <w:tc>
          <w:tcPr/>
          <w:p>
            <w:pPr>
              <w:pStyle w:val="Compact"/>
              <w:jc w:val="left"/>
            </w:pPr>
            <w:r>
              <w:t xml:space="preserve">39.7%</w:t>
            </w:r>
          </w:p>
        </w:tc>
        <w:tc>
          <w:tcPr/>
          <w:p>
            <w:pPr>
              <w:pStyle w:val="Compact"/>
            </w:pPr>
          </w:p>
        </w:tc>
      </w:tr>
      <w:tr>
        <w:tc>
          <w:tcPr/>
          <w:p>
            <w:pPr>
              <w:pStyle w:val="Compact"/>
              <w:jc w:val="left"/>
            </w:pPr>
            <w:r>
              <w:t xml:space="preserve">Elderly Care Facilities</w:t>
            </w:r>
          </w:p>
        </w:tc>
        <w:tc>
          <w:tcPr/>
          <w:p>
            <w:pPr>
              <w:pStyle w:val="Compact"/>
              <w:jc w:val="left"/>
            </w:pPr>
            <w:r>
              <w:t xml:space="preserve">16</w:t>
            </w:r>
          </w:p>
        </w:tc>
        <w:tc>
          <w:tcPr/>
          <w:p>
            <w:pPr>
              <w:pStyle w:val="Compact"/>
              <w:jc w:val="left"/>
            </w:pPr>
            <w:r>
              <w:t xml:space="preserve">16</w:t>
            </w:r>
          </w:p>
        </w:tc>
        <w:tc>
          <w:tcPr/>
          <w:p>
            <w:pPr>
              <w:pStyle w:val="Compact"/>
              <w:jc w:val="left"/>
            </w:pPr>
            <w:r>
              <w:t xml:space="preserve">100%</w:t>
            </w:r>
          </w:p>
        </w:tc>
        <w:tc>
          <w:tcPr/>
          <w:p>
            <w:pPr>
              <w:pStyle w:val="Compact"/>
              <w:jc w:val="left"/>
            </w:pPr>
            <w:r>
              <w:t xml:space="preserve">23.5%</w:t>
            </w:r>
          </w:p>
        </w:tc>
        <w:tc>
          <w:tcPr/>
          <w:p>
            <w:pPr>
              <w:pStyle w:val="Compact"/>
            </w:pPr>
          </w:p>
        </w:tc>
      </w:tr>
      <w:tr>
        <w:tc>
          <w:tcPr/>
          <w:p>
            <w:pPr>
              <w:pStyle w:val="Compact"/>
              <w:jc w:val="left"/>
            </w:pPr>
            <w:r>
              <w:t xml:space="preserve">Total</w:t>
            </w:r>
          </w:p>
        </w:tc>
        <w:tc>
          <w:tcPr/>
          <w:p>
            <w:pPr>
              <w:pStyle w:val="Compact"/>
              <w:jc w:val="left"/>
            </w:pPr>
            <w:r>
              <w:t xml:space="preserve">72</w:t>
            </w:r>
          </w:p>
        </w:tc>
        <w:tc>
          <w:tcPr/>
          <w:p>
            <w:pPr>
              <w:pStyle w:val="Compact"/>
              <w:jc w:val="left"/>
            </w:pPr>
            <w:r>
              <w:t xml:space="preserve">78</w:t>
            </w:r>
          </w:p>
        </w:tc>
        <w:tc>
          <w:tcPr/>
          <w:p>
            <w:pPr>
              <w:pStyle w:val="Compact"/>
              <w:jc w:val="left"/>
            </w:pPr>
            <w:r>
              <w:t xml:space="preserve">108.3%</w:t>
            </w:r>
          </w:p>
        </w:tc>
        <w:tc>
          <w:tcPr>
            <w:gridSpan w:val="2"/>
          </w:tcPr>
          <w:p>
            <w:pPr>
              <w:pStyle w:val="Compact"/>
              <w:jc w:val="left"/>
            </w:pPr>
            <w:r>
              <w:t xml:space="preserve">100%</w:t>
            </w:r>
          </w:p>
        </w:tc>
      </w:tr>
    </w:tbl>
    <w:bookmarkStart w:id="23" w:name="strategic-sales-insights"/>
    <w:p>
      <w:pPr>
        <w:pStyle w:val="Heading3"/>
      </w:pPr>
      <w:r>
        <w:t xml:space="preserve">Strategic Sales Insights</w:t>
      </w:r>
    </w:p>
    <w:p>
      <w:pPr>
        <w:pStyle w:val="FirstParagraph"/>
      </w:pPr>
      <w:r>
        <w:t xml:space="preserve">Our 2023 Q3 success stems from three key sales strategies uniquely tailored for the Belgium Brussels market:</w:t>
      </w:r>
    </w:p>
    <w:p>
      <w:pPr>
        <w:numPr>
          <w:ilvl w:val="0"/>
          <w:numId w:val="1002"/>
        </w:numPr>
        <w:pStyle w:val="Compact"/>
      </w:pPr>
      <w:r>
        <w:rPr>
          <w:bCs/>
          <w:b/>
        </w:rPr>
        <w:t xml:space="preserve">Cultural Intelligence Integration:</w:t>
      </w:r>
      <w:r>
        <w:t xml:space="preserve"> </w:t>
      </w:r>
      <w:r>
        <w:t xml:space="preserve">All candidate assessments now include cultural competency modules specific to Brussels' multilingual communities (French-speaking majority with significant Dutch and English-speaking populations).</w:t>
      </w:r>
    </w:p>
    <w:p>
      <w:pPr>
        <w:numPr>
          <w:ilvl w:val="0"/>
          <w:numId w:val="1002"/>
        </w:numPr>
        <w:pStyle w:val="Compact"/>
      </w:pPr>
      <w:r>
        <w:rPr>
          <w:bCs/>
          <w:b/>
        </w:rPr>
        <w:t xml:space="preserve">EU Policy Alignment:</w:t>
      </w:r>
      <w:r>
        <w:t xml:space="preserve"> </w:t>
      </w:r>
      <w:r>
        <w:t xml:space="preserve">We've developed a specialized sales pitch for EU-funded social programs requiring Social Workers with knowledge of European anti-discrimination directives.</w:t>
      </w:r>
    </w:p>
    <w:p>
      <w:pPr>
        <w:numPr>
          <w:ilvl w:val="0"/>
          <w:numId w:val="1002"/>
        </w:numPr>
        <w:pStyle w:val="Compact"/>
      </w:pPr>
      <w:r>
        <w:rPr>
          <w:bCs/>
          <w:b/>
        </w:rPr>
        <w:t xml:space="preserve">Regulatory Partnership Program:</w:t>
      </w:r>
      <w:r>
        <w:t xml:space="preserve"> </w:t>
      </w:r>
      <w:r>
        <w:t xml:space="preserve">Direct collaboration with the Belgian Council for Social Workers ensures immediate credential validation, eliminating 4+ weeks of administrative delays common in competitor placements.</w:t>
      </w:r>
    </w:p>
    <w:bookmarkEnd w:id="23"/>
    <w:bookmarkEnd w:id="24"/>
    <w:bookmarkStart w:id="25" w:name="challenges-competitive-differentiation"/>
    <w:p>
      <w:pPr>
        <w:pStyle w:val="Heading2"/>
      </w:pPr>
      <w:r>
        <w:t xml:space="preserve">Challenges &amp; Competitive Differentiation</w:t>
      </w:r>
    </w:p>
    <w:p>
      <w:pPr>
        <w:pStyle w:val="FirstParagraph"/>
      </w:pPr>
      <w:r>
        <w:t xml:space="preserve">The Brussels market presents distinct challenges requiring specialized sales approaches:</w:t>
      </w:r>
    </w:p>
    <w:p>
      <w:pPr>
        <w:numPr>
          <w:ilvl w:val="0"/>
          <w:numId w:val="1003"/>
        </w:numPr>
        <w:pStyle w:val="Compact"/>
      </w:pPr>
      <w:r>
        <w:rPr>
          <w:bCs/>
          <w:b/>
        </w:rPr>
        <w:t xml:space="preserve">Language Barrier:</w:t>
      </w:r>
      <w:r>
        <w:t xml:space="preserve"> </w:t>
      </w:r>
      <w:r>
        <w:t xml:space="preserve">Only 37% of English-speaking Social Workers meet the French/Dutch proficiency required for Brussels placements. Our sales team now prioritizes candidates with bilingual certificates from institutions like ULiège or KU Leuven.</w:t>
      </w:r>
    </w:p>
    <w:p>
      <w:pPr>
        <w:numPr>
          <w:ilvl w:val="0"/>
          <w:numId w:val="1003"/>
        </w:numPr>
        <w:pStyle w:val="Compact"/>
      </w:pPr>
      <w:r>
        <w:rPr>
          <w:bCs/>
          <w:b/>
        </w:rPr>
        <w:t xml:space="preserve">Certification Requirements:</w:t>
      </w:r>
      <w:r>
        <w:t xml:space="preserve"> </w:t>
      </w:r>
      <w:r>
        <w:t xml:space="preserve">Belgian employers reject 62% of overseas applicants due to non-reciprocal qualifications. Our pre-verification system prevents these costly mismatches before sales outreach.</w:t>
      </w:r>
    </w:p>
    <w:p>
      <w:pPr>
        <w:numPr>
          <w:ilvl w:val="0"/>
          <w:numId w:val="1003"/>
        </w:numPr>
        <w:pStyle w:val="Compact"/>
      </w:pPr>
      <w:r>
        <w:rPr>
          <w:bCs/>
          <w:b/>
        </w:rPr>
        <w:t xml:space="preserve">Competitive Pressure:</w:t>
      </w:r>
      <w:r>
        <w:t xml:space="preserve"> </w:t>
      </w:r>
      <w:r>
        <w:t xml:space="preserve">While regional agencies focus on low-cost placements, our high-touch service for Brussels positions (average contract value €78,500) commands a 22% premium through demonstrable ROI in client retention metrics.</w:t>
      </w:r>
    </w:p>
    <w:p>
      <w:pPr>
        <w:pStyle w:val="FirstParagraph"/>
      </w:pPr>
      <w:r>
        <w:t xml:space="preserve">Our sales differentiator is the "Brussels Social Worker Success Guarantee": a post-placement support package including mandatory French language refresher courses and monthly integration coaching for new hires. This directly addresses the 43% attrition rate common in Brussels social care roles, resulting in 89% client retention – versus industry average of 67%.</w:t>
      </w:r>
    </w:p>
    <w:bookmarkEnd w:id="25"/>
    <w:bookmarkStart w:id="26" w:name="future-sales-strategy-projections"/>
    <w:p>
      <w:pPr>
        <w:pStyle w:val="Heading2"/>
      </w:pPr>
      <w:r>
        <w:t xml:space="preserve">Future Sales Strategy &amp; Projections</w:t>
      </w:r>
    </w:p>
    <w:p>
      <w:pPr>
        <w:pStyle w:val="FirstParagraph"/>
      </w:pPr>
      <w:r>
        <w:t xml:space="preserve">Based on our Q3 performance and Brussels-specific market indicators, we project a 25-30% growth in Social Worker placements for H1 2024. Key initiatives include:</w:t>
      </w:r>
    </w:p>
    <w:p>
      <w:pPr>
        <w:numPr>
          <w:ilvl w:val="0"/>
          <w:numId w:val="1004"/>
        </w:numPr>
        <w:pStyle w:val="Compact"/>
      </w:pPr>
      <w:r>
        <w:rPr>
          <w:bCs/>
          <w:b/>
        </w:rPr>
        <w:t xml:space="preserve">Brussels Digital Talent Hub:</w:t>
      </w:r>
      <w:r>
        <w:t xml:space="preserve"> </w:t>
      </w:r>
      <w:r>
        <w:t xml:space="preserve">Launching a dedicated portal for Belgian-registered Social Workers with real-time job matching (Q1 2024).</w:t>
      </w:r>
    </w:p>
    <w:p>
      <w:pPr>
        <w:numPr>
          <w:ilvl w:val="0"/>
          <w:numId w:val="1004"/>
        </w:numPr>
        <w:pStyle w:val="Compact"/>
      </w:pPr>
      <w:r>
        <w:rPr>
          <w:bCs/>
          <w:b/>
        </w:rPr>
        <w:t xml:space="preserve">Educational Partnerships:</w:t>
      </w:r>
      <w:r>
        <w:t xml:space="preserve"> </w:t>
      </w:r>
      <w:r>
        <w:t xml:space="preserve">Formal agreements with Brussels universities (ULB, VUB) to create internship-to-hire pathways for Social Work graduates.</w:t>
      </w:r>
    </w:p>
    <w:p>
      <w:pPr>
        <w:numPr>
          <w:ilvl w:val="0"/>
          <w:numId w:val="1004"/>
        </w:numPr>
        <w:pStyle w:val="Compact"/>
      </w:pPr>
      <w:r>
        <w:rPr>
          <w:bCs/>
          <w:b/>
        </w:rPr>
        <w:t xml:space="preserve">EU Policy Advisory Service:</w:t>
      </w:r>
      <w:r>
        <w:t xml:space="preserve"> </w:t>
      </w:r>
      <w:r>
        <w:t xml:space="preserve">New sales offering for EU institutions requiring Social Workers certified in cross-border welfare systems.</w:t>
      </w:r>
    </w:p>
    <w:p>
      <w:pPr>
        <w:pStyle w:val="FirstParagraph"/>
      </w:pPr>
      <w:r>
        <w:t xml:space="preserve">These initiatives directly target the core challenge identified in our Q3 client surveys: 76% of Brussels organizations struggle to find Social Workers with both local regulatory knowledge and EU policy understanding. Our pipeline analysis shows 42 new government contracts are pending for Social Worker deployment across Brussels by March 2024 – representing €3.8M in potential sales volume.</w:t>
      </w:r>
    </w:p>
    <w:bookmarkEnd w:id="26"/>
    <w:bookmarkStart w:id="27" w:name="Xd5d6083bf34913377f43bcba1a42f7038b8f28e"/>
    <w:p>
      <w:pPr>
        <w:pStyle w:val="Heading2"/>
      </w:pPr>
      <w:r>
        <w:t xml:space="preserve">Conclusion: The Strategic Imperative of Belgium Brussels Social Worker Sales</w:t>
      </w:r>
    </w:p>
    <w:p>
      <w:pPr>
        <w:pStyle w:val="FirstParagraph"/>
      </w:pPr>
      <w:r>
        <w:t xml:space="preserve">The data unequivocally confirms that effective Sales Reporting for Social Workers in Belgium Brussels requires deep understanding of local regulatory frameworks, cultural nuances, and EU integration policies. Our agency's focus on these specific requirements has transformed recruitment from a transactional service into a strategic partnership – evidenced by our 93% client satisfaction rate in Brussels operations.</w:t>
      </w:r>
    </w:p>
    <w:p>
      <w:pPr>
        <w:pStyle w:val="BodyText"/>
      </w:pPr>
      <w:r>
        <w:t xml:space="preserve">As the European Commission continues to expand social welfare initiatives from its Brussels headquarters, demand for Social Workers with EU-specific expertise will accelerate. Organizations that fail to implement localized sales strategies (like our pre-verified credential system) will face persistent talent shortages. Our Q3 performance demonstrates that when Sales Reports prioritize Belgium Brussels' unique context – from language requirements to policy alignment – they directly drive market leadership in social care recruitment.</w:t>
      </w:r>
    </w:p>
    <w:p>
      <w:pPr>
        <w:pStyle w:val="BodyText"/>
      </w:pPr>
      <w:r>
        <w:t xml:space="preserve">Prepared by: International Social Care Recruitment Division</w:t>
      </w:r>
      <w:r>
        <w:br/>
      </w:r>
      <w:r>
        <w:t xml:space="preserve">Belgium Brussels Office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&amp; Market Analysis - Belgium Brussels</dc:title>
  <dc:creator/>
  <dc:language>en</dc:language>
  <cp:keywords/>
  <dcterms:created xsi:type="dcterms:W3CDTF">2026-07-21T07:33:37Z</dcterms:created>
  <dcterms:modified xsi:type="dcterms:W3CDTF">2026-07-21T07:33:37Z</dcterms:modified>
</cp:coreProperties>
</file>

<file path=docProps/custom.xml><?xml version="1.0" encoding="utf-8"?>
<Properties xmlns="http://schemas.openxmlformats.org/officeDocument/2006/custom-properties" xmlns:vt="http://schemas.openxmlformats.org/officeDocument/2006/docPropsVTypes"/>
</file>