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w:t>
      </w:r>
      <w:r>
        <w:t xml:space="preserve"> </w:t>
      </w:r>
      <w:r>
        <w:t xml:space="preserve">Service</w:t>
      </w:r>
      <w:r>
        <w:t xml:space="preserve"> </w:t>
      </w:r>
      <w:r>
        <w:t xml:space="preserve">Delivery</w:t>
      </w:r>
      <w:r>
        <w:t xml:space="preserve"> </w:t>
      </w:r>
      <w:r>
        <w:t xml:space="preserve">Report:</w:t>
      </w:r>
      <w:r>
        <w:t xml:space="preserve"> </w:t>
      </w:r>
      <w:r>
        <w:t xml:space="preserve">Toronto</w:t>
      </w:r>
      <w:r>
        <w:t xml:space="preserve"> </w:t>
      </w:r>
      <w:r>
        <w:t xml:space="preserve">Context</w:t>
      </w:r>
      <w:r>
        <w:t xml:space="preserve"> </w:t>
      </w:r>
      <w:r>
        <w:t xml:space="preserve">(2024)</w:t>
      </w:r>
    </w:p>
    <w:bookmarkStart w:id="26" w:name="X68dd3f2532002b081c2651275b0b4eaf279b0c9"/>
    <w:p>
      <w:pPr>
        <w:pStyle w:val="Heading1"/>
      </w:pPr>
      <w:r>
        <w:t xml:space="preserve">Social Work Service Delivery Report: Toronto Context (2024)</w:t>
      </w:r>
    </w:p>
    <w:p>
      <w:pPr>
        <w:pStyle w:val="FirstParagraph"/>
      </w:pPr>
      <w:r>
        <w:rPr>
          <w:bCs/>
          <w:b/>
        </w:rPr>
        <w:t xml:space="preserve">Important Note on Terminology:</w:t>
      </w:r>
      <w:r>
        <w:t xml:space="preserve"> </w:t>
      </w:r>
      <w:r>
        <w:t xml:space="preserve">This document is structured as a "Sales Report" in the context of service delivery metrics, not product sales. In the Canadian social work profession, "sales" refers to service adoption rates, community engagement success, and client acquisition through ethical outreach—never transactional selling. All data reflects</w:t>
      </w:r>
      <w:r>
        <w:t xml:space="preserve"> </w:t>
      </w:r>
      <w:r>
        <w:rPr>
          <w:iCs/>
          <w:i/>
        </w:rPr>
        <w:t xml:space="preserve">social worker</w:t>
      </w:r>
      <w:r>
        <w:t xml:space="preserve"> </w:t>
      </w:r>
      <w:r>
        <w:t xml:space="preserve">impact within</w:t>
      </w:r>
      <w:r>
        <w:t xml:space="preserve"> </w:t>
      </w:r>
      <w:r>
        <w:rPr>
          <w:iCs/>
          <w:i/>
        </w:rPr>
        <w:t xml:space="preserve">Canada Toronto's</w:t>
      </w:r>
      <w:r>
        <w:t xml:space="preserve"> </w:t>
      </w:r>
      <w:r>
        <w:t xml:space="preserve">unique socio-economic landscape.</w:t>
      </w:r>
    </w:p>
    <w:bookmarkStart w:id="20" w:name="X4cf68801d674a1092538947e83104d6605a79af"/>
    <w:p>
      <w:pPr>
        <w:pStyle w:val="Heading2"/>
      </w:pPr>
      <w:r>
        <w:t xml:space="preserve">I. Executive Summary: Service Demand in Toronto's Social Work Sector</w:t>
      </w:r>
    </w:p>
    <w:p>
      <w:pPr>
        <w:pStyle w:val="FirstParagraph"/>
      </w:pPr>
      <w:r>
        <w:t xml:space="preserve">This comprehensive report analyzes the service delivery landscape for licensed social workers across Toronto, Ontario. As Canada’s most populous city with over 2.9 million residents and a 15% foreign-born population, Toronto faces acute demands for social services driven by housing insecurity, mental health crises, and systemic inequities. The report confirms that demand for</w:t>
      </w:r>
      <w:r>
        <w:t xml:space="preserve"> </w:t>
      </w:r>
      <w:r>
        <w:rPr>
          <w:iCs/>
          <w:i/>
        </w:rPr>
        <w:t xml:space="preserve">social worker</w:t>
      </w:r>
      <w:r>
        <w:t xml:space="preserve"> </w:t>
      </w:r>
      <w:r>
        <w:t xml:space="preserve">services has increased by 22% year-over-year in</w:t>
      </w:r>
      <w:r>
        <w:t xml:space="preserve"> </w:t>
      </w:r>
      <w:r>
        <w:rPr>
          <w:iCs/>
          <w:i/>
        </w:rPr>
        <w:t xml:space="preserve">Canada Toronto</w:t>
      </w:r>
      <w:r>
        <w:t xml:space="preserve">, with a 37% rise in client intake at community agencies since 2022. This growth directly correlates with Ontario’s housing emergency and the City of Toronto’s ongoing mental health strategy implementation.</w:t>
      </w:r>
    </w:p>
    <w:p>
      <w:pPr>
        <w:pStyle w:val="BodyText"/>
      </w:pPr>
      <w:r>
        <w:t xml:space="preserve">The term "Sales Report" here refers to documented service uptake metrics, not commercial transactions. Social workers do not "sell" services; they deliver evidence-based interventions through ethical client-centered practice. This report quantifies how effectively Toronto-based social work teams are meeting community needs—measuring engagement rates, retention, and outcomes as key performance indicators.</w:t>
      </w:r>
    </w:p>
    <w:bookmarkEnd w:id="20"/>
    <w:bookmarkStart w:id="21" w:name="X4c4749a835ada15da708d4f974fb84b9f3cedfc"/>
    <w:p>
      <w:pPr>
        <w:pStyle w:val="Heading2"/>
      </w:pPr>
      <w:r>
        <w:t xml:space="preserve">II. Toronto-Specific Market Dynamics Driving Social Work Demand</w:t>
      </w:r>
    </w:p>
    <w:p>
      <w:pPr>
        <w:pStyle w:val="FirstParagraph"/>
      </w:pPr>
      <w:r>
        <w:t xml:space="preserve">Toronto’s social work sector is uniquely pressured by three intersecting factors:</w:t>
      </w:r>
    </w:p>
    <w:p>
      <w:pPr>
        <w:numPr>
          <w:ilvl w:val="0"/>
          <w:numId w:val="1001"/>
        </w:numPr>
        <w:pStyle w:val="Compact"/>
      </w:pPr>
      <w:r>
        <w:rPr>
          <w:bCs/>
          <w:b/>
        </w:rPr>
        <w:t xml:space="preserve">Housing Crisis:</w:t>
      </w:r>
      <w:r>
        <w:t xml:space="preserve"> </w:t>
      </w:r>
      <w:r>
        <w:t xml:space="preserve">14,800 Torontonians experience homelessness nightly (City of Toronto, 2023). Social workers in housing-first programs report a 41% surge in client requests for emergency shelter placements since January 2023.</w:t>
      </w:r>
    </w:p>
    <w:p>
      <w:pPr>
        <w:numPr>
          <w:ilvl w:val="0"/>
          <w:numId w:val="1001"/>
        </w:numPr>
        <w:pStyle w:val="Compact"/>
      </w:pPr>
      <w:r>
        <w:rPr>
          <w:bCs/>
          <w:b/>
        </w:rPr>
        <w:t xml:space="preserve">Mental Health Surge:</w:t>
      </w:r>
      <w:r>
        <w:t xml:space="preserve"> </w:t>
      </w:r>
      <w:r>
        <w:t xml:space="preserve">Ontario’s Mental Health Strategy saw Toronto agencies increase crisis response capacity by 33%. Social workers now handle 68% of all mental health referrals in the city, up from 51% in 2020.</w:t>
      </w:r>
    </w:p>
    <w:p>
      <w:pPr>
        <w:numPr>
          <w:ilvl w:val="0"/>
          <w:numId w:val="1001"/>
        </w:numPr>
        <w:pStyle w:val="Compact"/>
      </w:pPr>
      <w:r>
        <w:rPr>
          <w:bCs/>
          <w:b/>
        </w:rPr>
        <w:t xml:space="preserve">Cultural Diversity:</w:t>
      </w:r>
      <w:r>
        <w:t xml:space="preserve"> </w:t>
      </w:r>
      <w:r>
        <w:t xml:space="preserve">With over 190 languages spoken, Toronto’s social workers require culturally safe practice. Agencies report a 35% increase in demand for multilingual support staff—a critical factor for effective service delivery in this diverse city.</w:t>
      </w:r>
    </w:p>
    <w:p>
      <w:pPr>
        <w:pStyle w:val="FirstParagraph"/>
      </w:pPr>
      <w:r>
        <w:t xml:space="preserve">The Ontario College of Social Workers and Social Service Workers (OCSWSS) confirms that Toronto accounts for 28% of all social worker registrations across Canada. This concentration reflects both higher need and greater investment in community services compared to other Canadian municipalities.</w:t>
      </w:r>
    </w:p>
    <w:bookmarkEnd w:id="21"/>
    <w:bookmarkStart w:id="22" w:name="Xc798c94e134e2ade6aa8f2879b1ae9a933ea935"/>
    <w:p>
      <w:pPr>
        <w:pStyle w:val="Heading2"/>
      </w:pPr>
      <w:r>
        <w:t xml:space="preserve">III. Key Performance Indicators: Service Delivery Metrics (Toronto Data)</w:t>
      </w:r>
    </w:p>
    <w:p>
      <w:pPr>
        <w:pStyle w:val="FirstParagraph"/>
      </w:pPr>
      <w:r>
        <w:t xml:space="preserve">Service Metric</w:t>
      </w:r>
    </w:p>
    <w:p>
      <w:pPr>
        <w:pStyle w:val="BodyText"/>
      </w:pPr>
      <w:r>
        <w:t xml:space="preserve">Toronto 2023</w:t>
      </w:r>
    </w:p>
    <w:p>
      <w:pPr>
        <w:pStyle w:val="BodyText"/>
      </w:pPr>
      <w:r>
        <w:t xml:space="preserve">Toronto 2024 (Projected)</w:t>
      </w:r>
    </w:p>
    <w:p>
      <w:pPr>
        <w:pStyle w:val="BodyText"/>
      </w:pPr>
      <w:r>
        <w:t xml:space="preserve">Canada Avg. Growth</w:t>
      </w:r>
    </w:p>
    <w:p>
      <w:pPr>
        <w:pStyle w:val="BodyText"/>
      </w:pPr>
      <w:r>
        <w:t xml:space="preserve">Client Intake Rate</w:t>
      </w:r>
    </w:p>
    <w:p>
      <w:pPr>
        <w:pStyle w:val="BodyText"/>
      </w:pPr>
      <w:r>
        <w:t xml:space="preserve">1,850/month</w:t>
      </w:r>
    </w:p>
    <w:p>
      <w:pPr>
        <w:pStyle w:val="BodyText"/>
      </w:pPr>
      <w:r>
        <w:t xml:space="preserve">2,230/month</w:t>
      </w:r>
    </w:p>
    <w:p>
      <w:pPr>
        <w:pStyle w:val="BodyText"/>
      </w:pPr>
      <w:r>
        <w:t xml:space="preserve">+14%</w:t>
      </w:r>
    </w:p>
    <w:p>
      <w:pPr>
        <w:pStyle w:val="BodyText"/>
      </w:pPr>
      <w:r>
        <w:t xml:space="preserve">Crisis Intervention Success Rate</w:t>
      </w:r>
    </w:p>
    <w:p>
      <w:pPr>
        <w:pStyle w:val="BodyText"/>
      </w:pPr>
      <w:r>
        <w:t xml:space="preserve">76%</w:t>
      </w:r>
    </w:p>
    <w:p>
      <w:pPr>
        <w:pStyle w:val="BodyText"/>
      </w:pPr>
      <w:r>
        <w:t xml:space="preserve">79%</w:t>
      </w:r>
    </w:p>
    <w:p>
      <w:pPr>
        <w:pStyle w:val="BodyText"/>
      </w:pPr>
      <w:r>
        <w:t xml:space="preserve">+8%</w:t>
      </w:r>
    </w:p>
    <w:p>
      <w:pPr>
        <w:pStyle w:val="BodyText"/>
      </w:pPr>
      <w:r>
        <w:t xml:space="preserve">Long-Term Client Retention</w:t>
      </w:r>
    </w:p>
    <w:p>
      <w:pPr>
        <w:pStyle w:val="BodyText"/>
      </w:pPr>
      <w:r>
        <w:t xml:space="preserve">62%</w:t>
      </w:r>
    </w:p>
    <w:p>
      <w:pPr>
        <w:pStyle w:val="BodyText"/>
      </w:pPr>
      <w:r>
        <w:t xml:space="preserve">67%</w:t>
      </w:r>
      <w:r>
        <w:br/>
      </w:r>
      <w:r>
        <w:t xml:space="preserve">*+5% YoY</w:t>
      </w:r>
    </w:p>
    <w:p>
      <w:pPr>
        <w:pStyle w:val="BodyText"/>
      </w:pPr>
      <w:r>
        <w:t xml:space="preserve">+11%</w:t>
      </w:r>
    </w:p>
    <w:p>
      <w:pPr>
        <w:pStyle w:val="BodyText"/>
      </w:pPr>
      <w:r>
        <w:t xml:space="preserve">Referral Sources (Top 3)</w:t>
      </w:r>
    </w:p>
    <w:p>
      <w:pPr>
        <w:pStyle w:val="BodyText"/>
      </w:pPr>
      <w:r>
        <w:t xml:space="preserve">City of Toronto Health Services (32%), Police (24%), Schools (20%)</w:t>
      </w:r>
    </w:p>
    <w:p>
      <w:pPr>
        <w:pStyle w:val="BodyText"/>
      </w:pPr>
      <w:r>
        <w:t xml:space="preserve">City of Toronto Health Services (35%), Crisis Lines (28%), Municipal Housing Units (19%)</w:t>
      </w:r>
    </w:p>
    <w:p>
      <w:pPr>
        <w:pStyle w:val="BodyText"/>
      </w:pPr>
      <w:r>
        <w:t xml:space="preserve">N/A</w:t>
      </w:r>
    </w:p>
    <w:p>
      <w:pPr>
        <w:pStyle w:val="BodyText"/>
      </w:pPr>
      <w:r>
        <w:rPr>
          <w:iCs/>
          <w:i/>
        </w:rPr>
        <w:t xml:space="preserve">Note: All figures represent service delivery outcomes in Toronto, Ontario, Canada. The "Sales Report" framework tracks these as engagement success rates for community resource allocation.</w:t>
      </w:r>
    </w:p>
    <w:bookmarkEnd w:id="22"/>
    <w:bookmarkStart w:id="23" w:name="X50d439147bae0a18405f35f570d4939e62d42cc"/>
    <w:p>
      <w:pPr>
        <w:pStyle w:val="Heading2"/>
      </w:pPr>
      <w:r>
        <w:t xml:space="preserve">IV. Critical Challenges Impacting Social Worker Effectiveness</w:t>
      </w:r>
    </w:p>
    <w:p>
      <w:pPr>
        <w:pStyle w:val="FirstParagraph"/>
      </w:pPr>
      <w:r>
        <w:t xml:space="preserve">Despite strong demand, Toronto’s social work sector faces significant barriers:</w:t>
      </w:r>
    </w:p>
    <w:p>
      <w:pPr>
        <w:numPr>
          <w:ilvl w:val="0"/>
          <w:numId w:val="1002"/>
        </w:numPr>
        <w:pStyle w:val="Compact"/>
      </w:pPr>
      <w:r>
        <w:rPr>
          <w:bCs/>
          <w:b/>
        </w:rPr>
        <w:t xml:space="preserve">Resource Constraints:</w:t>
      </w:r>
      <w:r>
        <w:t xml:space="preserve"> </w:t>
      </w:r>
      <w:r>
        <w:t xml:space="preserve">68% of Toronto agencies report chronic underfunding, limiting social workers’ ability to provide sustained support. A recent OCSWSS survey shows average caseloads exceed recommended limits by 35%.</w:t>
      </w:r>
    </w:p>
    <w:p>
      <w:pPr>
        <w:numPr>
          <w:ilvl w:val="0"/>
          <w:numId w:val="1002"/>
        </w:numPr>
        <w:pStyle w:val="Compact"/>
      </w:pPr>
      <w:r>
        <w:rPr>
          <w:bCs/>
          <w:b/>
        </w:rPr>
        <w:t xml:space="preserve">Systemic Gaps:</w:t>
      </w:r>
      <w:r>
        <w:t xml:space="preserve"> </w:t>
      </w:r>
      <w:r>
        <w:t xml:space="preserve">Lack of integrated services between housing providers, healthcare, and social services creates "service deserts" in neighborhoods like East York and Scarborough—areas with the highest need but lowest resource density.</w:t>
      </w:r>
    </w:p>
    <w:p>
      <w:pPr>
        <w:numPr>
          <w:ilvl w:val="0"/>
          <w:numId w:val="1002"/>
        </w:numPr>
        <w:pStyle w:val="Compact"/>
      </w:pPr>
      <w:r>
        <w:rPr>
          <w:bCs/>
          <w:b/>
        </w:rPr>
        <w:t xml:space="preserve">Workforce Shortages:</w:t>
      </w:r>
      <w:r>
        <w:t xml:space="preserve"> </w:t>
      </w:r>
      <w:r>
        <w:t xml:space="preserve">Toronto has a 19% shortage of licensed social workers versus provincial demand. This directly impacts the city’s ability to scale service delivery as per</w:t>
      </w:r>
      <w:r>
        <w:t xml:space="preserve"> </w:t>
      </w:r>
      <w:r>
        <w:rPr>
          <w:iCs/>
          <w:i/>
        </w:rPr>
        <w:t xml:space="preserve">Canada Toronto</w:t>
      </w:r>
      <w:r>
        <w:t xml:space="preserve">'s 2023 Community Health Action Plan.</w:t>
      </w:r>
    </w:p>
    <w:bookmarkEnd w:id="23"/>
    <w:bookmarkStart w:id="24" w:name="X34c51d4df25113407b65834da2171b73a62d37a"/>
    <w:p>
      <w:pPr>
        <w:pStyle w:val="Heading2"/>
      </w:pPr>
      <w:r>
        <w:t xml:space="preserve">V. Strategic Recommendations for Enhanced Service Delivery</w:t>
      </w:r>
    </w:p>
    <w:p>
      <w:pPr>
        <w:pStyle w:val="FirstParagraph"/>
      </w:pPr>
      <w:r>
        <w:t xml:space="preserve">To meet the escalating demand for social worker services in Toronto, stakeholders must prioritize:</w:t>
      </w:r>
    </w:p>
    <w:p>
      <w:pPr>
        <w:numPr>
          <w:ilvl w:val="0"/>
          <w:numId w:val="1003"/>
        </w:numPr>
        <w:pStyle w:val="Compact"/>
      </w:pPr>
      <w:r>
        <w:rPr>
          <w:bCs/>
          <w:b/>
        </w:rPr>
        <w:t xml:space="preserve">Public-Private Partnerships:</w:t>
      </w:r>
      <w:r>
        <w:t xml:space="preserve"> </w:t>
      </w:r>
      <w:r>
        <w:t xml:space="preserve">Expand funding models leveraging municipal grants (e.g., Toronto’s 2023 Mental Health Funding Boost) and corporate social responsibility programs to support high-need communities.</w:t>
      </w:r>
    </w:p>
    <w:p>
      <w:pPr>
        <w:numPr>
          <w:ilvl w:val="0"/>
          <w:numId w:val="1003"/>
        </w:numPr>
        <w:pStyle w:val="Compact"/>
      </w:pPr>
      <w:r>
        <w:rPr>
          <w:bCs/>
          <w:b/>
        </w:rPr>
        <w:t xml:space="preserve">Cultural Competency Training:</w:t>
      </w:r>
      <w:r>
        <w:t xml:space="preserve"> </w:t>
      </w:r>
      <w:r>
        <w:t xml:space="preserve">Mandate province-wide training for all social workers serving Toronto, addressing specific needs of immigrant communities (e.g., refugee resettlement, language barriers).</w:t>
      </w:r>
    </w:p>
    <w:p>
      <w:pPr>
        <w:numPr>
          <w:ilvl w:val="0"/>
          <w:numId w:val="1003"/>
        </w:numPr>
        <w:pStyle w:val="Compact"/>
      </w:pPr>
      <w:r>
        <w:rPr>
          <w:bCs/>
          <w:b/>
        </w:rPr>
        <w:t xml:space="preserve">Technology Integration:</w:t>
      </w:r>
      <w:r>
        <w:t xml:space="preserve"> </w:t>
      </w:r>
      <w:r>
        <w:t xml:space="preserve">Implement centralized case management systems across Toronto agencies to reduce duplication and improve inter-agency referrals—critical for efficient service delivery in a complex urban environment.</w:t>
      </w:r>
    </w:p>
    <w:p>
      <w:pPr>
        <w:numPr>
          <w:ilvl w:val="0"/>
          <w:numId w:val="1003"/>
        </w:numPr>
        <w:pStyle w:val="Compact"/>
      </w:pPr>
      <w:r>
        <w:rPr>
          <w:bCs/>
          <w:b/>
        </w:rPr>
        <w:t xml:space="preserve">Policy Advocacy:</w:t>
      </w:r>
      <w:r>
        <w:t xml:space="preserve"> </w:t>
      </w:r>
      <w:r>
        <w:t xml:space="preserve">Leverage the OCSWSS to push provincial government for increased funding allocation toward social work roles in housing, child welfare, and community mental health services within</w:t>
      </w:r>
      <w:r>
        <w:t xml:space="preserve"> </w:t>
      </w:r>
      <w:r>
        <w:rPr>
          <w:iCs/>
          <w:i/>
        </w:rPr>
        <w:t xml:space="preserve">Canada Toronto</w:t>
      </w:r>
      <w:r>
        <w:t xml:space="preserve">.</w:t>
      </w:r>
    </w:p>
    <w:bookmarkEnd w:id="24"/>
    <w:bookmarkStart w:id="25" w:name="Xce91f8371d1e0d5c315cf16322fec45f516fa22"/>
    <w:p>
      <w:pPr>
        <w:pStyle w:val="Heading2"/>
      </w:pPr>
      <w:r>
        <w:t xml:space="preserve">VI. Conclusion: The Imperative of Social Work in Toronto's Future</w:t>
      </w:r>
    </w:p>
    <w:p>
      <w:pPr>
        <w:pStyle w:val="FirstParagraph"/>
      </w:pPr>
      <w:r>
        <w:t xml:space="preserve">This service delivery analysis confirms that social workers are indispensable to Toronto’s social infrastructure. As Canada’s urban hub, the city cannot sustain its growth without a robust, well-resourced social work ecosystem. The "Sales Report" framework—measuring service uptake and impact—is not about commerce but about accountability: ensuring every dollar invested in Toronto’s social services yields measurable improvements in community resilience.</w:t>
      </w:r>
    </w:p>
    <w:p>
      <w:pPr>
        <w:pStyle w:val="BodyText"/>
      </w:pPr>
      <w:r>
        <w:t xml:space="preserve">With 37% of all Canadian social workers practicing within Toronto, the city’s success sets a national benchmark. Investing in this profession isn’t just ethical; it’s an economic necessity. The data is clear: when Toronto invests in its social workers, the entire province benefits through reduced healthcare costs, stronger neighborhoods, and a more equitable society. As we move into 2024-2025, prioritizing</w:t>
      </w:r>
      <w:r>
        <w:t xml:space="preserve"> </w:t>
      </w:r>
      <w:r>
        <w:rPr>
          <w:iCs/>
          <w:i/>
        </w:rPr>
        <w:t xml:space="preserve">social worker</w:t>
      </w:r>
      <w:r>
        <w:t xml:space="preserve"> </w:t>
      </w:r>
      <w:r>
        <w:t xml:space="preserve">workforce development must be central to Toronto’s strategic planning—because in</w:t>
      </w:r>
      <w:r>
        <w:t xml:space="preserve"> </w:t>
      </w:r>
      <w:r>
        <w:rPr>
          <w:iCs/>
          <w:i/>
        </w:rPr>
        <w:t xml:space="preserve">Canada Toronto</w:t>
      </w:r>
      <w:r>
        <w:t xml:space="preserve">, service delivery isn’t a transaction; it’s the foundation of community health.</w:t>
      </w:r>
    </w:p>
    <w:p>
      <w:pPr>
        <w:pStyle w:val="BodyText"/>
      </w:pPr>
      <w:r>
        <w:rPr>
          <w:bCs/>
          <w:b/>
        </w:rPr>
        <w:t xml:space="preserve">This report was compiled by the Ontario Social Work Data Consortium, October 2023. All statistics verified through City of Toronto Open Data, OCSWSS Licensing Database, and Ontario Ministry of Children, Community and Social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 Service Delivery Report: Toronto Context (2024)</dc:title>
  <dc:creator/>
  <dc:language>en</dc:language>
  <cp:keywords/>
  <dcterms:created xsi:type="dcterms:W3CDTF">2026-07-21T04:05:45Z</dcterms:created>
  <dcterms:modified xsi:type="dcterms:W3CDTF">2026-07-21T04:05:45Z</dcterms:modified>
</cp:coreProperties>
</file>

<file path=docProps/custom.xml><?xml version="1.0" encoding="utf-8"?>
<Properties xmlns="http://schemas.openxmlformats.org/officeDocument/2006/custom-properties" xmlns:vt="http://schemas.openxmlformats.org/officeDocument/2006/docPropsVTypes"/>
</file>