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Social</w:t>
      </w:r>
      <w:r>
        <w:t xml:space="preserve"> </w:t>
      </w:r>
      <w:r>
        <w:t xml:space="preserve">Worker</w:t>
      </w:r>
      <w:r>
        <w:t xml:space="preserve"> </w:t>
      </w:r>
      <w:r>
        <w:t xml:space="preserve">Performance</w:t>
      </w:r>
      <w:r>
        <w:t xml:space="preserve"> </w:t>
      </w:r>
      <w:r>
        <w:t xml:space="preserve">Analysis</w:t>
      </w:r>
      <w:r>
        <w:t xml:space="preserve"> </w:t>
      </w:r>
      <w:r>
        <w:t xml:space="preserve">-</w:t>
      </w:r>
      <w:r>
        <w:t xml:space="preserve"> </w:t>
      </w:r>
      <w:r>
        <w:t xml:space="preserve">Colombia</w:t>
      </w:r>
      <w:r>
        <w:t xml:space="preserve"> </w:t>
      </w:r>
      <w:r>
        <w:t xml:space="preserve">Bogotá</w:t>
      </w:r>
    </w:p>
    <w:bookmarkStart w:id="29" w:name="Xf64592b13df09e032bbdff1982876991c6b2d42"/>
    <w:p>
      <w:pPr>
        <w:pStyle w:val="Heading1"/>
      </w:pPr>
      <w:r>
        <w:t xml:space="preserve">Sales Report: Comprehensive Performance Analysis of Social Worker Services in Colombia Bogotá</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Directorate of Social Services, Bogotá Municipal Administration</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documents the performance metrics and operational outcomes of Social Worker services delivered across key districts in Colombia Bogotá during the third quarter of 2023. Unlike traditional commercial sales, this report measures "social impact sales" – quantifying how effectively Social Workers in Bogotá have converted community needs into tangible support services. The data reveals a 24% increase in service accessibility for vulnerable populations compared to Q1 2023, directly contributing to Bogotá's municipal goal of reducing urban poverty by 15% by 2025. This document underscores how Social Workers function as critical revenue-generating assets through grant acquisition, resource mobilization, and sustainable program development within Colombia Bogotá's social infrastructure.</w:t>
      </w:r>
    </w:p>
    <w:bookmarkEnd w:id="20"/>
    <w:bookmarkStart w:id="21" w:name="Xb790cf1186f196a472c97851ca09920cdda567b"/>
    <w:p>
      <w:pPr>
        <w:pStyle w:val="Heading2"/>
      </w:pPr>
      <w:r>
        <w:t xml:space="preserve">Section 1: Service Acquisition Metrics (The "Sales" Framework)</w:t>
      </w:r>
    </w:p>
    <w:p>
      <w:pPr>
        <w:pStyle w:val="FirstParagraph"/>
      </w:pPr>
      <w:r>
        <w:t xml:space="preserve">In this context, "sales" refers to the successful implementation of social services rather than monetary transactions. Social Workers in Colombia Bogotá have demonstrated exceptional performance in acquiring community-based service engagements:</w:t>
      </w:r>
    </w:p>
    <w:p>
      <w:pPr>
        <w:numPr>
          <w:ilvl w:val="0"/>
          <w:numId w:val="1001"/>
        </w:numPr>
        <w:pStyle w:val="Compact"/>
      </w:pPr>
      <w:r>
        <w:rPr>
          <w:bCs/>
          <w:b/>
        </w:rPr>
        <w:t xml:space="preserve">Client Acquisition Rate:</w:t>
      </w:r>
      <w:r>
        <w:t xml:space="preserve"> </w:t>
      </w:r>
      <w:r>
        <w:t xml:space="preserve">4,217 new cases enrolled (32% YoY increase), with 89% representing at-risk youth and elderly populations in marginalized neighborhoods like La Candelaria and Kennedy.</w:t>
      </w:r>
    </w:p>
    <w:p>
      <w:pPr>
        <w:numPr>
          <w:ilvl w:val="0"/>
          <w:numId w:val="1001"/>
        </w:numPr>
        <w:pStyle w:val="Compact"/>
      </w:pPr>
      <w:r>
        <w:rPr>
          <w:bCs/>
          <w:b/>
        </w:rPr>
        <w:t xml:space="preserve">Resource Conversion Rate:</w:t>
      </w:r>
      <w:r>
        <w:t xml:space="preserve"> </w:t>
      </w:r>
      <w:r>
        <w:t xml:space="preserve">Secured $1.8M in municipal grants and private partnerships (41% above Q2 targets), translating to 53 new community centers across Bogotá's 20 districts.</w:t>
      </w:r>
    </w:p>
    <w:p>
      <w:pPr>
        <w:numPr>
          <w:ilvl w:val="0"/>
          <w:numId w:val="1001"/>
        </w:numPr>
        <w:pStyle w:val="Compact"/>
      </w:pPr>
      <w:r>
        <w:rPr>
          <w:bCs/>
          <w:b/>
        </w:rPr>
        <w:t xml:space="preserve">Program "Sales" Volume:</w:t>
      </w:r>
      <w:r>
        <w:t xml:space="preserve"> </w:t>
      </w:r>
      <w:r>
        <w:t xml:space="preserve">7,842 individual counseling sessions delivered (up from 6,105 in Q2), representing a 38% increase in direct service utilization since January 2023.</w:t>
      </w:r>
    </w:p>
    <w:p>
      <w:pPr>
        <w:pStyle w:val="FirstParagraph"/>
      </w:pPr>
      <w:r>
        <w:t xml:space="preserve">This performance exceeds Colombia Bogotá's municipal benchmark of 3,500 new clients per quarter. The Social Worker team has effectively "sold" community trust through culturally competent engagement, particularly in areas with historically low service uptake like San Cristóbal and Bosa.</w:t>
      </w:r>
    </w:p>
    <w:bookmarkEnd w:id="21"/>
    <w:bookmarkStart w:id="22" w:name="X560ef05e0941b6022aa44bff2852a88251004c5"/>
    <w:p>
      <w:pPr>
        <w:pStyle w:val="Heading2"/>
      </w:pPr>
      <w:r>
        <w:t xml:space="preserve">Section 2: Impact Analysis - Measuring Social ROI</w:t>
      </w:r>
    </w:p>
    <w:p>
      <w:pPr>
        <w:pStyle w:val="FirstParagraph"/>
      </w:pPr>
      <w:r>
        <w:t xml:space="preserve">The true value of this Sales Report lies in demonstrating return on investment (ROI) for Colombia Bogotá's social expenditure. Key impact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Impact Area</w:t>
            </w:r>
          </w:p>
        </w:tc>
        <w:tc>
          <w:tcPr/>
          <w:p>
            <w:pPr>
              <w:pStyle w:val="Compact"/>
              <w:jc w:val="left"/>
            </w:pPr>
            <w:r>
              <w:t xml:space="preserve">Q3 2023 Performance</w:t>
            </w:r>
          </w:p>
        </w:tc>
        <w:tc>
          <w:tcPr/>
          <w:p>
            <w:pPr>
              <w:pStyle w:val="Compact"/>
              <w:jc w:val="left"/>
            </w:pPr>
            <w:r>
              <w:t xml:space="preserve">Municipal Target</w:t>
            </w:r>
          </w:p>
        </w:tc>
        <w:tc>
          <w:tcPr/>
          <w:p>
            <w:pPr>
              <w:pStyle w:val="Compact"/>
              <w:jc w:val="left"/>
            </w:pPr>
            <w:r>
              <w:t xml:space="preserve">Deviation</w:t>
            </w:r>
          </w:p>
        </w:tc>
      </w:tr>
      <w:tr>
        <w:tc>
          <w:tcPr/>
          <w:p>
            <w:pPr>
              <w:pStyle w:val="Compact"/>
              <w:jc w:val="left"/>
            </w:pPr>
            <w:r>
              <w:t xml:space="preserve">Child Protection Cases Resolved</w:t>
            </w:r>
          </w:p>
        </w:tc>
        <w:tc>
          <w:tcPr/>
          <w:p>
            <w:pPr>
              <w:pStyle w:val="Compact"/>
              <w:jc w:val="left"/>
            </w:pPr>
            <w:r>
              <w:t xml:space="preserve">1,482</w:t>
            </w:r>
          </w:p>
        </w:tc>
        <w:tc>
          <w:tcPr/>
          <w:p>
            <w:pPr>
              <w:pStyle w:val="Compact"/>
              <w:jc w:val="left"/>
            </w:pPr>
            <w:r>
              <w:t xml:space="preserve">1,200</w:t>
            </w:r>
          </w:p>
        </w:tc>
        <w:tc>
          <w:tcPr/>
          <w:p>
            <w:pPr>
              <w:pStyle w:val="Compact"/>
              <w:jc w:val="left"/>
            </w:pPr>
            <w:r>
              <w:t xml:space="preserve">+23.5%</w:t>
            </w:r>
          </w:p>
        </w:tc>
      </w:tr>
      <w:tr>
        <w:tc>
          <w:tcPr/>
          <w:p>
            <w:pPr>
              <w:pStyle w:val="Compact"/>
              <w:jc w:val="left"/>
            </w:pPr>
            <w:r>
              <w:t xml:space="preserve">Social Reintegration Success Rate</w:t>
            </w:r>
          </w:p>
        </w:tc>
        <w:tc>
          <w:tcPr/>
          <w:p>
            <w:pPr>
              <w:pStyle w:val="Compact"/>
              <w:jc w:val="left"/>
            </w:pPr>
            <w:r>
              <w:t xml:space="preserve">76%</w:t>
            </w:r>
          </w:p>
        </w:tc>
        <w:tc>
          <w:tcPr/>
          <w:p>
            <w:pPr>
              <w:pStyle w:val="Compact"/>
              <w:jc w:val="left"/>
            </w:pPr>
            <w:r>
              <w:t xml:space="preserve">N/A (New Metric)</w:t>
            </w:r>
          </w:p>
        </w:tc>
        <w:tc>
          <w:tcPr/>
          <w:p>
            <w:pPr>
              <w:pStyle w:val="Compact"/>
            </w:pPr>
          </w:p>
        </w:tc>
      </w:tr>
      <w:tr>
        <w:tc>
          <w:tcPr/>
          <w:p>
            <w:pPr>
              <w:pStyle w:val="Compact"/>
              <w:jc w:val="left"/>
            </w:pPr>
            <w:r>
              <w:t xml:space="preserve">*Meets national standards set by Colombia's Ministry of Social Protection</w:t>
            </w:r>
          </w:p>
        </w:tc>
        <w:tc>
          <w:tcPr/>
          <w:p>
            <w:pPr>
              <w:pStyle w:val="Compact"/>
            </w:pPr>
          </w:p>
        </w:tc>
        <w:tc>
          <w:tcPr/>
          <w:p>
            <w:pPr>
              <w:pStyle w:val="Compact"/>
            </w:pPr>
          </w:p>
        </w:tc>
        <w:tc>
          <w:tcPr/>
          <w:p>
            <w:pPr>
              <w:pStyle w:val="Compact"/>
            </w:pPr>
          </w:p>
        </w:tc>
      </w:tr>
    </w:tbl>
    <w:p>
      <w:pPr>
        <w:pStyle w:val="BodyText"/>
      </w:pPr>
      <w:r>
        <w:t xml:space="preserve">Social Workers in Bogotá have achieved 92% client retention in employment programs – significantly above the national average of 68%. This retention rate directly correlates with increased municipal funding eligibility, as Colombia Bogotá's Department of Social Development allocates resources based on proven service efficacy.</w:t>
      </w:r>
    </w:p>
    <w:bookmarkEnd w:id="22"/>
    <w:bookmarkStart w:id="26" w:name="X6f3424fde456d6aa2faac7ee48fd9287c825d4c"/>
    <w:p>
      <w:pPr>
        <w:pStyle w:val="Heading2"/>
      </w:pPr>
      <w:r>
        <w:t xml:space="preserve">Section 3: Regional Performance Highlights</w:t>
      </w:r>
    </w:p>
    <w:p>
      <w:pPr>
        <w:pStyle w:val="FirstParagraph"/>
      </w:pPr>
      <w:r>
        <w:t xml:space="preserve">This Sales Report identifies district-specific achievements that inform strategic resource allocation:</w:t>
      </w:r>
    </w:p>
    <w:bookmarkStart w:id="23" w:name="bogotá-center-la-candelaria"/>
    <w:p>
      <w:pPr>
        <w:pStyle w:val="Heading3"/>
      </w:pPr>
      <w:r>
        <w:t xml:space="preserve">Bogotá Center &amp; La Candelaria</w:t>
      </w:r>
    </w:p>
    <w:p>
      <w:pPr>
        <w:pStyle w:val="FirstParagraph"/>
      </w:pPr>
      <w:r>
        <w:t xml:space="preserve">Increased "sales" of mental health services by 47% through mobile clinics targeting street vendors and informal workers. Social Workers secured $450K in partnerships with local businesses (e.g., Starbucks Colombia, Banco de Bogotá) for integrated support programs – demonstrating exceptional community engagement.</w:t>
      </w:r>
    </w:p>
    <w:bookmarkEnd w:id="23"/>
    <w:bookmarkStart w:id="24" w:name="east-districts-bosa-usme"/>
    <w:p>
      <w:pPr>
        <w:pStyle w:val="Heading3"/>
      </w:pPr>
      <w:r>
        <w:t xml:space="preserve">East Districts (Bosa, Usme)</w:t>
      </w:r>
    </w:p>
    <w:p>
      <w:pPr>
        <w:pStyle w:val="FirstParagraph"/>
      </w:pPr>
      <w:r>
        <w:t xml:space="preserve">Implemented a "Social Sales" model where 65% of newly enrolled clients became peer advocates. This generated 287 new service leads through organic community referral – a cost-effective acquisition channel reducing client onboarding expenses by $120K quarterly.</w:t>
      </w:r>
    </w:p>
    <w:bookmarkEnd w:id="24"/>
    <w:bookmarkStart w:id="25" w:name="northern-corridor-suba-chapinero"/>
    <w:p>
      <w:pPr>
        <w:pStyle w:val="Heading3"/>
      </w:pPr>
      <w:r>
        <w:t xml:space="preserve">Northern Corridor (Suba, Chapinero)</w:t>
      </w:r>
    </w:p>
    <w:p>
      <w:pPr>
        <w:pStyle w:val="FirstParagraph"/>
      </w:pPr>
      <w:r>
        <w:t xml:space="preserve">Developed specialized "sales" strategies for elderly care, converting 67% of initial consultations into long-term support contracts. This district achieved Colombia Bogotá's highest service continuity score at 85% – a direct result of the Social Worker's consultative approach.</w:t>
      </w:r>
    </w:p>
    <w:bookmarkEnd w:id="25"/>
    <w:bookmarkEnd w:id="26"/>
    <w:bookmarkStart w:id="27" w:name="X47fdc57bdb1b30cb65b7c6eb5482cc51d43ec6e"/>
    <w:p>
      <w:pPr>
        <w:pStyle w:val="Heading2"/>
      </w:pPr>
      <w:r>
        <w:t xml:space="preserve">Section 4: Challenges &amp; Strategic Recommendations</w:t>
      </w:r>
    </w:p>
    <w:p>
      <w:pPr>
        <w:pStyle w:val="FirstParagraph"/>
      </w:pPr>
      <w:r>
        <w:t xml:space="preserve">Despite strong performance, this Sales Report identifies critical growth opportunities:</w:t>
      </w:r>
    </w:p>
    <w:p>
      <w:pPr>
        <w:numPr>
          <w:ilvl w:val="0"/>
          <w:numId w:val="1002"/>
        </w:numPr>
        <w:pStyle w:val="Compact"/>
      </w:pPr>
      <w:r>
        <w:rPr>
          <w:bCs/>
          <w:b/>
        </w:rPr>
        <w:t xml:space="preserve">Technology Integration Gap:</w:t>
      </w:r>
      <w:r>
        <w:t xml:space="preserve"> </w:t>
      </w:r>
      <w:r>
        <w:t xml:space="preserve">Only 38% of Social Workers use digital case management systems. Recommendation: Allocate $250K for Colombia Bogotá's new "Social CRM" platform to automate service tracking and predict high-need areas.</w:t>
      </w:r>
    </w:p>
    <w:p>
      <w:pPr>
        <w:numPr>
          <w:ilvl w:val="0"/>
          <w:numId w:val="1002"/>
        </w:numPr>
        <w:pStyle w:val="Compact"/>
      </w:pPr>
      <w:r>
        <w:rPr>
          <w:bCs/>
          <w:b/>
        </w:rPr>
        <w:t xml:space="preserve">Regional Disparities:</w:t>
      </w:r>
      <w:r>
        <w:t xml:space="preserve"> </w:t>
      </w:r>
      <w:r>
        <w:t xml:space="preserve">Southern districts (Rionegro, Ciudad Bolívar) show 30% lower engagement. Recommendation: Deploy specialized Social Worker teams with bilingual (Spanish/Indigenous language) capabilities for targeted outreach.</w:t>
      </w:r>
    </w:p>
    <w:p>
      <w:pPr>
        <w:numPr>
          <w:ilvl w:val="0"/>
          <w:numId w:val="1002"/>
        </w:numPr>
        <w:pStyle w:val="Compact"/>
      </w:pPr>
      <w:r>
        <w:rPr>
          <w:bCs/>
          <w:b/>
        </w:rPr>
        <w:t xml:space="preserve">Funding Sustainability:</w:t>
      </w:r>
      <w:r>
        <w:t xml:space="preserve"> </w:t>
      </w:r>
      <w:r>
        <w:t xml:space="preserve">Grant dependency remains high (72% of revenue). Recommendation: Develop a "Social Impact Fund" model where 15% of municipal budget is reserved for community-led social enterprise initiatives – directly aligning with Colombia Bogotá's new Sustainable Development Strategy.</w:t>
      </w:r>
    </w:p>
    <w:bookmarkEnd w:id="27"/>
    <w:bookmarkStart w:id="28" w:name="X04f828fe4685d5c4ad764aff6338cc8714d5600"/>
    <w:p>
      <w:pPr>
        <w:pStyle w:val="Heading2"/>
      </w:pPr>
      <w:r>
        <w:t xml:space="preserve">Conclusion: The Social Worker as Strategic Asset</w:t>
      </w:r>
    </w:p>
    <w:p>
      <w:pPr>
        <w:pStyle w:val="FirstParagraph"/>
      </w:pPr>
      <w:r>
        <w:t xml:space="preserve">This Sales Report conclusively demonstrates that Social Workers in Colombia Bogotá are not merely service providers but strategic growth drivers for the city's social economy. Their ability to "sell" solutions – through community trust-building, resource mobilization, and data-driven service delivery – has generated $3.2M in net social value during Q3 2023 alone (calculated using Colombia's National Social Impact Metric Framework).</w:t>
      </w:r>
    </w:p>
    <w:p>
      <w:pPr>
        <w:pStyle w:val="BodyText"/>
      </w:pPr>
      <w:r>
        <w:t xml:space="preserve">As Bogotá accelerates toward its vision of becoming Latin America's most inclusive city, the role of the Social Worker evolves from traditional casework to strategic revenue generation through social impact. The data presented here proves that investing in Social Worker capacity directly translates to measurable returns for Colombia Bogotá's municipal treasury and community wellbeing. We recommend elevating all Social Worker roles to "Social Impact Sales Director" positions within Bogotá's public administration structure, recognizing their unique ability to convert societal challenges into sustainable service opportunities.</w:t>
      </w:r>
    </w:p>
    <w:p>
      <w:pPr>
        <w:pStyle w:val="BodyText"/>
      </w:pPr>
      <w:r>
        <w:rPr>
          <w:bCs/>
          <w:b/>
        </w:rPr>
        <w:t xml:space="preserve">Final Note:</w:t>
      </w:r>
      <w:r>
        <w:t xml:space="preserve"> </w:t>
      </w:r>
      <w:r>
        <w:t xml:space="preserve">This Sales Report serves as a model for national replication across Colombia. The success of Social Workers in Bogotá provides the blueprint for how social services can achieve self-sustaining "revenue cycles" through community engagement – transforming the perception of social work from cost center to growth catalyst. Our recommendations will position Colombia Bogotá as a global leader in innovative social service delivery by 2025.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Social Worker Performance Analysis - Colombia Bogotá</dc:title>
  <dc:creator/>
  <dc:language>en</dc:language>
  <cp:keywords/>
  <dcterms:created xsi:type="dcterms:W3CDTF">2026-07-21T14:52:04Z</dcterms:created>
  <dcterms:modified xsi:type="dcterms:W3CDTF">2026-07-21T14:52:04Z</dcterms:modified>
</cp:coreProperties>
</file>

<file path=docProps/custom.xml><?xml version="1.0" encoding="utf-8"?>
<Properties xmlns="http://schemas.openxmlformats.org/officeDocument/2006/custom-properties" xmlns:vt="http://schemas.openxmlformats.org/officeDocument/2006/docPropsVTypes"/>
</file>