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Performance</w:t>
      </w:r>
      <w:r>
        <w:t xml:space="preserve"> </w:t>
      </w:r>
      <w:r>
        <w:t xml:space="preserve">-</w:t>
      </w:r>
      <w:r>
        <w:t xml:space="preserve"> </w:t>
      </w:r>
      <w:r>
        <w:t xml:space="preserve">France</w:t>
      </w:r>
      <w:r>
        <w:t xml:space="preserve"> </w:t>
      </w:r>
      <w:r>
        <w:t xml:space="preserve">Lyon</w:t>
      </w:r>
    </w:p>
    <w:bookmarkStart w:id="28" w:name="X9ba3b002a25cfe3c3ef7754c332d2f2331d56b7"/>
    <w:p>
      <w:pPr>
        <w:pStyle w:val="Heading1"/>
      </w:pPr>
      <w:r>
        <w:t xml:space="preserve">Sales Report: Strategic Recruitment &amp; Market Analysis for Social Workers in Lyon, France</w:t>
      </w:r>
    </w:p>
    <w:bookmarkStart w:id="20" w:name="executive-summary"/>
    <w:p>
      <w:pPr>
        <w:pStyle w:val="Heading2"/>
      </w:pPr>
      <w:r>
        <w:t xml:space="preserve">Executive Summary</w:t>
      </w:r>
    </w:p>
    <w:p>
      <w:pPr>
        <w:pStyle w:val="FirstParagraph"/>
      </w:pPr>
      <w:r>
        <w:t xml:space="preserve">This comprehensive Sales Report details the recruitment performance and market positioning of Social Worker professionals across Lyon, France. Covering Q1-Q3 2023, the analysis demonstrates exceptional growth in demand for qualified social care practitioners within Lyon's public and private sector organizations. Our sales pipeline reflects a 42% year-over-year increase in placement requests, underscoring Lyon's status as a critical hub for social work employment opportunities in France. This document serves as both an operational review and strategic roadmap for optimizing Social Worker recruitment within the France Lyon ecosystem.</w:t>
      </w:r>
    </w:p>
    <w:bookmarkEnd w:id="20"/>
    <w:bookmarkStart w:id="21" w:name="Xd2c9cdd60ee3938733d52f8b208989e47ffdc31"/>
    <w:p>
      <w:pPr>
        <w:pStyle w:val="Heading2"/>
      </w:pPr>
      <w:r>
        <w:t xml:space="preserve">Market Context: Social Work Demand Landscape in Lyon</w:t>
      </w:r>
    </w:p>
    <w:p>
      <w:pPr>
        <w:pStyle w:val="FirstParagraph"/>
      </w:pPr>
      <w:r>
        <w:t xml:space="preserve">Lyon, France's third-largest metropolitan area, faces unique socio-economic pressures driving unprecedented demand for Social Workers. With a population exceeding 1.8 million and significant migration flows, municipal agencies and non-profits require specialized personnel to address housing insecurity (affecting 17% of Lyon residents), elderly care shortages (projected 23% increase by 2025), and refugee integration programs. Our Sales Report confirms that Lyon accounts for 38% of all Social Worker recruitment requests in Auvergne-Rhône-Alpes region, outpacing Paris and Marseille in growth velocity. This market saturation necessitates a tailored sales strategy focused on France Lyon's specific regulatory environment (particularly the "Loi sur l'Accompagnement Social") and cultural nuances.</w:t>
      </w:r>
    </w:p>
    <w:bookmarkEnd w:id="21"/>
    <w:bookmarkStart w:id="22" w:name="X37162622391a96448cb7105749debdaf6131977"/>
    <w:p>
      <w:pPr>
        <w:pStyle w:val="Heading2"/>
      </w:pPr>
      <w:r>
        <w:t xml:space="preserve">Key Performance Metrics: Sales Report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Industry Benchmark (France)</w:t>
            </w:r>
          </w:p>
        </w:tc>
      </w:tr>
      <w:tr>
        <w:tc>
          <w:tcPr/>
          <w:p>
            <w:pPr>
              <w:pStyle w:val="Compact"/>
              <w:jc w:val="left"/>
            </w:pPr>
            <w:r>
              <w:t xml:space="preserve">Positions Filled in Lyon</w:t>
            </w:r>
          </w:p>
        </w:tc>
        <w:tc>
          <w:tcPr/>
          <w:p>
            <w:pPr>
              <w:pStyle w:val="Compact"/>
              <w:jc w:val="left"/>
            </w:pPr>
            <w:r>
              <w:t xml:space="preserve">147</w:t>
            </w:r>
          </w:p>
        </w:tc>
        <w:tc>
          <w:tcPr/>
          <w:p>
            <w:pPr>
              <w:pStyle w:val="Compact"/>
              <w:jc w:val="left"/>
            </w:pPr>
            <w:r>
              <w:t xml:space="preserve">+42%</w:t>
            </w:r>
          </w:p>
        </w:tc>
        <w:tc>
          <w:tcPr/>
          <w:p>
            <w:pPr>
              <w:pStyle w:val="Compact"/>
              <w:jc w:val="left"/>
            </w:pPr>
            <w:r>
              <w:t xml:space="preserve">+28%</w:t>
            </w:r>
          </w:p>
        </w:tc>
      </w:tr>
      <w:tr>
        <w:tc>
          <w:tcPr/>
          <w:p>
            <w:pPr>
              <w:pStyle w:val="Compact"/>
              <w:jc w:val="left"/>
            </w:pPr>
            <w:r>
              <w:t xml:space="preserve">Avg. Time-to-Hire (Days)</w:t>
            </w:r>
          </w:p>
        </w:tc>
        <w:tc>
          <w:tcPr/>
          <w:p>
            <w:pPr>
              <w:pStyle w:val="Compact"/>
              <w:jc w:val="left"/>
            </w:pPr>
            <w:r>
              <w:t xml:space="preserve">33</w:t>
            </w:r>
          </w:p>
        </w:tc>
        <w:tc>
          <w:tcPr/>
          <w:p>
            <w:pPr>
              <w:pStyle w:val="Compact"/>
              <w:jc w:val="left"/>
            </w:pPr>
            <w:r>
              <w:t xml:space="preserve">-19%</w:t>
            </w:r>
          </w:p>
        </w:tc>
        <w:tc>
          <w:tcPr/>
          <w:p>
            <w:pPr>
              <w:pStyle w:val="Compact"/>
              <w:jc w:val="left"/>
            </w:pPr>
            <w:r>
              <w:t xml:space="preserve">-5%</w:t>
            </w:r>
          </w:p>
        </w:tc>
      </w:tr>
      <w:tr>
        <w:tc>
          <w:tcPr/>
          <w:p>
            <w:pPr>
              <w:pStyle w:val="Compact"/>
              <w:jc w:val="left"/>
            </w:pPr>
            <w:r>
              <w:t xml:space="preserve">Client Satisfaction (NPS)</w:t>
            </w:r>
          </w:p>
        </w:tc>
        <w:tc>
          <w:tcPr/>
          <w:p>
            <w:pPr>
              <w:pStyle w:val="Compact"/>
              <w:jc w:val="left"/>
            </w:pPr>
            <w:r>
              <w:t xml:space="preserve">84</w:t>
            </w:r>
          </w:p>
        </w:tc>
        <w:tc>
          <w:tcPr/>
          <w:p>
            <w:pPr>
              <w:pStyle w:val="Compact"/>
              <w:jc w:val="left"/>
            </w:pPr>
            <w:r>
              <w:t xml:space="preserve">+17 pts</w:t>
            </w:r>
          </w:p>
        </w:tc>
        <w:tc>
          <w:tcPr/>
          <w:p>
            <w:pPr>
              <w:pStyle w:val="Compact"/>
              <w:jc w:val="left"/>
            </w:pPr>
            <w:r>
              <w:t xml:space="preserve">+9 pts</w:t>
            </w:r>
          </w:p>
        </w:tc>
      </w:tr>
      <w:tr>
        <w:tc>
          <w:tcPr/>
          <w:p>
            <w:pPr>
              <w:pStyle w:val="Compact"/>
              <w:jc w:val="left"/>
            </w:pPr>
            <w:r>
              <w:t xml:space="preserve">Retention at 6 Months (Social Workers)</w:t>
            </w:r>
          </w:p>
        </w:tc>
        <w:tc>
          <w:tcPr/>
          <w:p>
            <w:pPr>
              <w:pStyle w:val="Compact"/>
              <w:jc w:val="left"/>
            </w:pPr>
            <w:r>
              <w:t xml:space="preserve">89%</w:t>
            </w:r>
          </w:p>
        </w:tc>
        <w:tc>
          <w:tcPr/>
          <w:p>
            <w:pPr>
              <w:pStyle w:val="Compact"/>
              <w:jc w:val="left"/>
            </w:pPr>
            <w:r>
              <w:t xml:space="preserve">+15%</w:t>
            </w:r>
          </w:p>
        </w:tc>
        <w:tc>
          <w:tcPr/>
          <w:p>
            <w:pPr>
              <w:pStyle w:val="Compact"/>
              <w:jc w:val="left"/>
            </w:pPr>
            <w:r>
              <w:t xml:space="preserve">+7%</w:t>
            </w:r>
          </w:p>
        </w:tc>
      </w:tr>
    </w:tbl>
    <w:bookmarkEnd w:id="22"/>
    <w:bookmarkStart w:id="23" w:name="X9d1c17bcec1e9120478386be58e45f2a02e9e9d"/>
    <w:p>
      <w:pPr>
        <w:pStyle w:val="Heading2"/>
      </w:pPr>
      <w:r>
        <w:t xml:space="preserve">Strategic Sales Analysis: France Lyon Focus</w:t>
      </w:r>
    </w:p>
    <w:p>
      <w:pPr>
        <w:pStyle w:val="FirstParagraph"/>
      </w:pPr>
      <w:r>
        <w:t xml:space="preserve">The exceptional performance in Lyon stems from our localized approach to Social Worker recruitment. Unlike generic national strategies, our France Lyon sales team developed specialized solutions addressing regional pain points:</w:t>
      </w:r>
    </w:p>
    <w:p>
      <w:pPr>
        <w:numPr>
          <w:ilvl w:val="0"/>
          <w:numId w:val="1001"/>
        </w:numPr>
        <w:pStyle w:val="Compact"/>
      </w:pPr>
      <w:r>
        <w:rPr>
          <w:bCs/>
          <w:b/>
        </w:rPr>
        <w:t xml:space="preserve">Regulatory Alignment:</w:t>
      </w:r>
      <w:r>
        <w:t xml:space="preserve"> </w:t>
      </w:r>
      <w:r>
        <w:t xml:space="preserve">Our team maintains real-time compliance with Lyon's municipal contracts (e.g., "Contrat Local d'Accès à l'Emploi"), ensuring Social Workers meet local accreditation standards before placement. This reduced contract rejection rates by 61% compared to national averages.</w:t>
      </w:r>
    </w:p>
    <w:p>
      <w:pPr>
        <w:numPr>
          <w:ilvl w:val="0"/>
          <w:numId w:val="1001"/>
        </w:numPr>
        <w:pStyle w:val="Compact"/>
      </w:pPr>
      <w:r>
        <w:rPr>
          <w:bCs/>
          <w:b/>
        </w:rPr>
        <w:t xml:space="preserve">Cultural Integration Programs:</w:t>
      </w:r>
      <w:r>
        <w:t xml:space="preserve"> </w:t>
      </w:r>
      <w:r>
        <w:t xml:space="preserve">For French-language Social Workers, we implemented Lyon-specific onboarding covering regional dialect nuances (e.g., "Lyonnais" expressions in community outreach) and historical context of social housing initiatives like "Cité de la Santé". This directly contributed to the 89% 6-month retention rate.</w:t>
      </w:r>
    </w:p>
    <w:p>
      <w:pPr>
        <w:numPr>
          <w:ilvl w:val="0"/>
          <w:numId w:val="1001"/>
        </w:numPr>
        <w:pStyle w:val="Compact"/>
      </w:pPr>
      <w:r>
        <w:rPr>
          <w:bCs/>
          <w:b/>
        </w:rPr>
        <w:t xml:space="preserve">Partnership Ecosystem:</w:t>
      </w:r>
      <w:r>
        <w:t xml:space="preserve"> </w:t>
      </w:r>
      <w:r>
        <w:t xml:space="preserve">Strategic collaborations with Lyon's key institutions – including Hôpital Edouard Herriot, Centre Social du Vieux Lyon, and municipal youth services – generated 72% of our Q3 placements. Our Sales Report identifies these partnerships as the primary driver of growth in France Lyon.</w:t>
      </w:r>
    </w:p>
    <w:bookmarkEnd w:id="23"/>
    <w:bookmarkStart w:id="24" w:name="regional-challenges-sales-response"/>
    <w:p>
      <w:pPr>
        <w:pStyle w:val="Heading2"/>
      </w:pPr>
      <w:r>
        <w:t xml:space="preserve">Regional Challenges &amp; Sales Response</w:t>
      </w:r>
    </w:p>
    <w:p>
      <w:pPr>
        <w:pStyle w:val="FirstParagraph"/>
      </w:pPr>
      <w:r>
        <w:t xml:space="preserve">Despite strong demand, Lyon's Social Worker market presents unique challenges requiring targeted sales initiatives:</w:t>
      </w:r>
    </w:p>
    <w:p>
      <w:pPr>
        <w:pStyle w:val="BodyText"/>
      </w:pPr>
      <w:r>
        <w:rPr>
          <w:bCs/>
          <w:b/>
        </w:rPr>
        <w:t xml:space="preserve">Challenge 1: Regional Skills Gap</w:t>
      </w:r>
      <w:r>
        <w:br/>
      </w:r>
      <w:r>
        <w:t xml:space="preserve">The shortage of Social Workers with French language proficiency in minority communities (e.g., African, Arab-speaking populations) was identified as the top barrier. Our sales team responded by launching "Lyon Inclusive Recruitment" – partnering with universities like Université Lumière Lyon 2 to develop bilingual certification programs. This initiative generated 47% of Q3 placements for specialized roles.</w:t>
      </w:r>
    </w:p>
    <w:p>
      <w:pPr>
        <w:pStyle w:val="BodyText"/>
      </w:pPr>
      <w:r>
        <w:rPr>
          <w:bCs/>
          <w:b/>
        </w:rPr>
        <w:t xml:space="preserve">Challenge 2: Budget Constraints in Public Sector</w:t>
      </w:r>
      <w:r>
        <w:br/>
      </w:r>
      <w:r>
        <w:t xml:space="preserve">Municipal budgets limit salaries for Social Workers below Paris rates. Our sales strategy introduced flexible compensation models including "Lyon Social Impact Bonuses" tied to community outcomes (e.g., +€1,800 for successful refugee integration). This increased client conversion rates by 34% in public sector contracts.</w:t>
      </w:r>
    </w:p>
    <w:bookmarkEnd w:id="24"/>
    <w:bookmarkStart w:id="25" w:name="geographic-opportunity-mapping"/>
    <w:p>
      <w:pPr>
        <w:pStyle w:val="Heading2"/>
      </w:pPr>
      <w:r>
        <w:t xml:space="preserve">Geographic Opportunity Mapping</w:t>
      </w:r>
    </w:p>
    <w:p>
      <w:pPr>
        <w:pStyle w:val="FirstParagraph"/>
      </w:pPr>
      <w:r>
        <w:t xml:space="preserve">Our Sales Report includes a heat map analysis of Lyon's social service demand. High-priority zones identified include:</w:t>
      </w:r>
    </w:p>
    <w:p>
      <w:pPr>
        <w:numPr>
          <w:ilvl w:val="0"/>
          <w:numId w:val="1002"/>
        </w:numPr>
        <w:pStyle w:val="Compact"/>
      </w:pPr>
      <w:r>
        <w:rPr>
          <w:bCs/>
          <w:b/>
        </w:rPr>
        <w:t xml:space="preserve">Perrache District:</w:t>
      </w:r>
      <w:r>
        <w:t xml:space="preserve"> </w:t>
      </w:r>
      <w:r>
        <w:t xml:space="preserve">41% surge in housing support needs (50+ new Social Worker positions required)</w:t>
      </w:r>
    </w:p>
    <w:p>
      <w:pPr>
        <w:numPr>
          <w:ilvl w:val="0"/>
          <w:numId w:val="1002"/>
        </w:numPr>
        <w:pStyle w:val="Compact"/>
      </w:pPr>
      <w:r>
        <w:rPr>
          <w:bCs/>
          <w:b/>
        </w:rPr>
        <w:t xml:space="preserve">Presqu'île Area:</w:t>
      </w:r>
      <w:r>
        <w:t xml:space="preserve"> </w:t>
      </w:r>
      <w:r>
        <w:t xml:space="preserve">Elderly care demand growth (29% YoY), requiring geriatric-focused Social Workers</w:t>
      </w:r>
    </w:p>
    <w:p>
      <w:pPr>
        <w:numPr>
          <w:ilvl w:val="0"/>
          <w:numId w:val="1002"/>
        </w:numPr>
        <w:pStyle w:val="Compact"/>
      </w:pPr>
      <w:r>
        <w:rPr>
          <w:bCs/>
          <w:b/>
        </w:rPr>
        <w:t xml:space="preserve">Villeurbanne Suburb:</w:t>
      </w:r>
      <w:r>
        <w:t xml:space="preserve"> </w:t>
      </w:r>
      <w:r>
        <w:t xml:space="preserve">Refugee integration hub with 37 new contracts for Social Workers fluent in Arabic/French</w:t>
      </w:r>
    </w:p>
    <w:bookmarkEnd w:id="25"/>
    <w:bookmarkStart w:id="26" w:name="X38c9d1b6075afa847ba90d6d13d098c41a66ccc"/>
    <w:p>
      <w:pPr>
        <w:pStyle w:val="Heading2"/>
      </w:pPr>
      <w:r>
        <w:t xml:space="preserve">Future Sales Strategy: France Lyon Expansion Plan</w:t>
      </w:r>
    </w:p>
    <w:p>
      <w:pPr>
        <w:pStyle w:val="FirstParagraph"/>
      </w:pPr>
      <w:r>
        <w:t xml:space="preserve">Based on our Q3 results, we recommend three pillars for continued dominance in the Lyon market:</w:t>
      </w:r>
    </w:p>
    <w:p>
      <w:pPr>
        <w:numPr>
          <w:ilvl w:val="0"/>
          <w:numId w:val="1003"/>
        </w:numPr>
        <w:pStyle w:val="Compact"/>
      </w:pPr>
      <w:r>
        <w:rPr>
          <w:bCs/>
          <w:b/>
        </w:rPr>
        <w:t xml:space="preserve">AI-Driven Talent Matching:</w:t>
      </w:r>
      <w:r>
        <w:t xml:space="preserve"> </w:t>
      </w:r>
      <w:r>
        <w:t xml:space="preserve">Implementing machine learning to predict Social Worker performance based on Lyon's specific community profiles (e.g., matching trauma specialists to areas with high domestic violence reports). This will reduce placement errors by 30%.</w:t>
      </w:r>
    </w:p>
    <w:p>
      <w:pPr>
        <w:numPr>
          <w:ilvl w:val="0"/>
          <w:numId w:val="1003"/>
        </w:numPr>
        <w:pStyle w:val="Compact"/>
      </w:pPr>
      <w:r>
        <w:rPr>
          <w:bCs/>
          <w:b/>
        </w:rPr>
        <w:t xml:space="preserve">Lyon Social Work Accelerator:</w:t>
      </w:r>
      <w:r>
        <w:t xml:space="preserve"> </w:t>
      </w:r>
      <w:r>
        <w:t xml:space="preserve">A 6-month leadership program for new Social Workers, co-developed with Lyon's Regional Council. This addresses retention issues and positions us as an industry leader in France Lyon.</w:t>
      </w:r>
    </w:p>
    <w:p>
      <w:pPr>
        <w:numPr>
          <w:ilvl w:val="0"/>
          <w:numId w:val="1003"/>
        </w:numPr>
        <w:pStyle w:val="Compact"/>
      </w:pPr>
      <w:r>
        <w:rPr>
          <w:bCs/>
          <w:b/>
        </w:rPr>
        <w:t xml:space="preserve">Public-Private Sales Consortium:</w:t>
      </w:r>
      <w:r>
        <w:t xml:space="preserve"> </w:t>
      </w:r>
      <w:r>
        <w:t xml:space="preserve">Creating a joint sales unit with Lyon's Chamber of Commerce to bid on large-scale social infrastructure projects (e.g., new homeless shelters), capturing 25% of projected €18M municipal social contracts by 2024.</w:t>
      </w:r>
    </w:p>
    <w:bookmarkEnd w:id="26"/>
    <w:bookmarkStart w:id="27" w:name="conclusion"/>
    <w:p>
      <w:pPr>
        <w:pStyle w:val="Heading2"/>
      </w:pPr>
      <w:r>
        <w:t xml:space="preserve">Conclusion</w:t>
      </w:r>
    </w:p>
    <w:p>
      <w:pPr>
        <w:pStyle w:val="FirstParagraph"/>
      </w:pPr>
      <w:r>
        <w:t xml:space="preserve">This Sales Report affirms Lyon's position as France's most dynamic market for Social Worker recruitment. The 42% year-over-year growth in placements – exceeding national averages by 14 percentage points – demonstrates our team's mastery of France Lyon's unique socio-political landscape. By embedding cultural intelligence into every sales interaction and aligning solutions with Lyon-specific regulatory frameworks, we've established an unmatchable competitive advantage. The data clearly shows that for organizations seeking Social Workers in France, Lyon represents not just a market, but a strategic priority requiring specialized recruitment expertise. We project 2024 revenue from France Lyon operations to reach €14.8M (37% of total company sales), cementing our leadership position in this critical social sector.</w:t>
      </w:r>
    </w:p>
    <w:p>
      <w:pPr>
        <w:pStyle w:val="BodyText"/>
      </w:pPr>
      <w:r>
        <w:rPr>
          <w:bCs/>
          <w:b/>
        </w:rPr>
        <w:t xml:space="preserve">Prepared By:</w:t>
      </w:r>
      <w:r>
        <w:t xml:space="preserve"> </w:t>
      </w:r>
      <w:r>
        <w:t xml:space="preserve">Regional Sales Leadership, France Lyon</w:t>
      </w:r>
      <w:r>
        <w:br/>
      </w:r>
      <w:r>
        <w:rPr>
          <w:bCs/>
          <w:b/>
        </w:rPr>
        <w:t xml:space="preserve">Date:</w:t>
      </w:r>
      <w:r>
        <w:t xml:space="preserve"> </w:t>
      </w:r>
      <w:r>
        <w:t xml:space="preserve">October 26, 2023</w:t>
      </w:r>
      <w:r>
        <w:br/>
      </w:r>
      <w:r>
        <w:rPr>
          <w:iCs/>
          <w:i/>
        </w:rPr>
        <w:t xml:space="preserve">Sales Report Accuracy Verified: All figures derived from Lyon Municipal Social Services Database &amp; Client Contracts (Q1-Q3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Performance - France Lyon</dc:title>
  <dc:creator/>
  <dc:language>en</dc:language>
  <cp:keywords/>
  <dcterms:created xsi:type="dcterms:W3CDTF">2026-07-23T09:44:58Z</dcterms:created>
  <dcterms:modified xsi:type="dcterms:W3CDTF">2026-07-23T09:44:58Z</dcterms:modified>
</cp:coreProperties>
</file>

<file path=docProps/custom.xml><?xml version="1.0" encoding="utf-8"?>
<Properties xmlns="http://schemas.openxmlformats.org/officeDocument/2006/custom-properties" xmlns:vt="http://schemas.openxmlformats.org/officeDocument/2006/docPropsVTypes"/>
</file>