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Service</w:t>
      </w:r>
      <w:r>
        <w:t xml:space="preserve"> </w:t>
      </w:r>
      <w:r>
        <w:t xml:space="preserve">Delivery</w:t>
      </w:r>
      <w:r>
        <w:t xml:space="preserve"> </w:t>
      </w:r>
      <w:r>
        <w:t xml:space="preserve">Report:</w:t>
      </w:r>
      <w:r>
        <w:t xml:space="preserve"> </w:t>
      </w:r>
      <w:r>
        <w:t xml:space="preserve">Tehran,</w:t>
      </w:r>
      <w:r>
        <w:t xml:space="preserve"> </w:t>
      </w:r>
      <w:r>
        <w:t xml:space="preserve">Iran</w:t>
      </w:r>
    </w:p>
    <w:bookmarkStart w:id="31" w:name="X4f8b1f1fc0b63a1117c464f70f9c88350a7aa3d"/>
    <w:p>
      <w:pPr>
        <w:pStyle w:val="Heading1"/>
      </w:pPr>
      <w:r>
        <w:t xml:space="preserve">Comprehensive Service Delivery Report: Social Worker Operations in Tehran, Iran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Welfare, Tehran Regional Office</w:t>
      </w:r>
      <w:r>
        <w:br/>
      </w:r>
      <w:r>
        <w:rPr>
          <w:bCs/>
          <w:b/>
        </w:rPr>
        <w:t xml:space="preserve">Report Type:</w:t>
      </w:r>
      <w:r>
        <w:t xml:space="preserve"> </w:t>
      </w:r>
      <w:r>
        <w:t xml:space="preserve">Quarterly Service Delivery &amp; Community Impact Analysis</w:t>
      </w:r>
    </w:p>
    <w:bookmarkStart w:id="20" w:name="i.-executive-summary"/>
    <w:p>
      <w:pPr>
        <w:pStyle w:val="Heading2"/>
      </w:pPr>
      <w:r>
        <w:t xml:space="preserve">I. Executive Summary</w:t>
      </w:r>
    </w:p>
    <w:p>
      <w:pPr>
        <w:pStyle w:val="FirstParagraph"/>
      </w:pPr>
      <w:r>
        <w:t xml:space="preserve">This report details the operational performance of Social Worker service delivery initiatives across Tehran, Iran during Q3 2023. Contrary to traditional sales terminology, this document focuses on community impact metrics within Iran's social welfare framework, aligning with national priorities for poverty reduction and vulnerable population support. The Social Worker teams deployed in Tehran have achieved significant milestones in client engagement, service accessibility, and cross-agency collaboration—demonstrating how human-centered service delivery drives measurable community outcomes rather than commercial transactions.</w:t>
      </w:r>
    </w:p>
    <w:bookmarkEnd w:id="20"/>
    <w:bookmarkStart w:id="21" w:name="X68c9bd4b9678a0c4744c4ef10dab8e41bb94189"/>
    <w:p>
      <w:pPr>
        <w:pStyle w:val="Heading2"/>
      </w:pPr>
      <w:r>
        <w:t xml:space="preserve">II. Tehran Market Analysis: Social Needs Assessment</w:t>
      </w:r>
    </w:p>
    <w:p>
      <w:pPr>
        <w:pStyle w:val="FirstParagraph"/>
      </w:pPr>
      <w:r>
        <w:t xml:space="preserve">Tehran's unique urban landscape presents both challenges and opportunities for Social Worker deployment. With over 14 million residents, the city experiences high migration pressures (78% of population are internal migrants), exacerbating social vulnerability. Key indicators from the Tehran Welfare Organization (2023) reveal:</w:t>
      </w:r>
    </w:p>
    <w:p>
      <w:pPr>
        <w:numPr>
          <w:ilvl w:val="0"/>
          <w:numId w:val="1001"/>
        </w:numPr>
        <w:pStyle w:val="Compact"/>
      </w:pPr>
      <w:r>
        <w:t xml:space="preserve">32% of households in districts like Shahr-e Rey and Vali Asr face food insecurity</w:t>
      </w:r>
    </w:p>
    <w:p>
      <w:pPr>
        <w:numPr>
          <w:ilvl w:val="0"/>
          <w:numId w:val="1001"/>
        </w:numPr>
        <w:pStyle w:val="Compact"/>
      </w:pPr>
      <w:r>
        <w:t xml:space="preserve">41% increase in youth mental health referrals since 2021</w:t>
      </w:r>
    </w:p>
    <w:p>
      <w:pPr>
        <w:numPr>
          <w:ilvl w:val="0"/>
          <w:numId w:val="1001"/>
        </w:numPr>
        <w:pStyle w:val="Compact"/>
      </w:pPr>
      <w:r>
        <w:t xml:space="preserve">Only 57% of elderly residents access formal social support services</w:t>
      </w:r>
    </w:p>
    <w:p>
      <w:pPr>
        <w:pStyle w:val="FirstParagraph"/>
      </w:pPr>
      <w:r>
        <w:t xml:space="preserve">These statistics define the critical "market" for Social Worker interventions. Unlike commercial sales targets, our focus is on reducing service gaps—particularly in Tehran's underserved neighborhoods where transportation barriers and cultural hesitancy hinder access.</w:t>
      </w:r>
    </w:p>
    <w:bookmarkEnd w:id="21"/>
    <w:bookmarkStart w:id="23" w:name="X797788fabc6e86e315fb85e051a5c29e9e89846"/>
    <w:p>
      <w:pPr>
        <w:pStyle w:val="Heading2"/>
      </w:pPr>
      <w:r>
        <w:t xml:space="preserve">III. Service Delivery Performance Metrics (Social Worker Operations)</w:t>
      </w:r>
    </w:p>
    <w:p>
      <w:pPr>
        <w:pStyle w:val="FirstParagraph"/>
      </w:pPr>
      <w:r>
        <w:t xml:space="preserve">The Social Worker teams operating in Tehran have exceeded community impact targets by 18% compared to Q2 2023. Key performance indicators reflect service delivery excellence:</w:t>
      </w:r>
    </w:p>
    <w:p>
      <w:pPr>
        <w:pStyle w:val="BodyText"/>
      </w:pPr>
      <w:r>
        <w:t xml:space="preserve">Service Metric</w:t>
      </w:r>
    </w:p>
    <w:p>
      <w:pPr>
        <w:pStyle w:val="BodyText"/>
      </w:pPr>
      <w:r>
        <w:t xml:space="preserve">Q3 2023 Target</w:t>
      </w:r>
    </w:p>
    <w:p>
      <w:pPr>
        <w:pStyle w:val="BodyText"/>
      </w:pPr>
      <w:r>
        <w:t xml:space="preserve">Actual Delivery</w:t>
      </w:r>
    </w:p>
    <w:p>
      <w:pPr>
        <w:pStyle w:val="BodyText"/>
      </w:pPr>
      <w:r>
        <w:t xml:space="preserve">Variance</w:t>
      </w:r>
    </w:p>
    <w:p>
      <w:pPr>
        <w:pStyle w:val="BodyText"/>
      </w:pPr>
      <w:r>
        <w:t xml:space="preserve">New Client Intake (Vulnerable Groups)</w:t>
      </w:r>
    </w:p>
    <w:p>
      <w:pPr>
        <w:pStyle w:val="BodyText"/>
      </w:pPr>
      <w:r>
        <w:t xml:space="preserve">1,450</w:t>
      </w:r>
    </w:p>
    <w:p>
      <w:pPr>
        <w:pStyle w:val="BodyText"/>
      </w:pPr>
      <w:r>
        <w:t xml:space="preserve">1,728</w:t>
      </w:r>
    </w:p>
    <w:p>
      <w:pPr>
        <w:pStyle w:val="BodyText"/>
      </w:pPr>
      <w:r>
        <w:t xml:space="preserve">+19.2%</w:t>
      </w:r>
    </w:p>
    <w:p>
      <w:pPr>
        <w:pStyle w:val="BodyText"/>
      </w:pPr>
      <w:r>
        <w:t xml:space="preserve">Stability Outcomes Achieved</w:t>
      </w:r>
    </w:p>
    <w:p>
      <w:pPr>
        <w:pStyle w:val="BodyText"/>
      </w:pPr>
      <w:r>
        <w:t xml:space="preserve">68%</w:t>
      </w:r>
    </w:p>
    <w:p>
      <w:pPr>
        <w:pStyle w:val="BodyText"/>
      </w:pPr>
      <w:r>
        <w:rPr>
          <w:rStyle w:val="VerbatimChar"/>
        </w:rPr>
        <w:t xml:space="preserve">75% (Exceeded by 7%)             </w:t>
      </w:r>
    </w:p>
    <w:p>
      <w:pPr>
        <w:pStyle w:val="BodyText"/>
      </w:pPr>
      <w:r>
        <w:t xml:space="preserve">75%</w:t>
      </w:r>
    </w:p>
    <w:p>
      <w:pPr>
        <w:pStyle w:val="BodyText"/>
      </w:pPr>
      <w:r>
        <w:t xml:space="preserve">+7.0%</w:t>
      </w:r>
    </w:p>
    <w:p>
      <w:pPr>
        <w:pStyle w:val="BodyText"/>
      </w:pPr>
      <w:r>
        <w:t xml:space="preserve">Community Partnership Engagements</w:t>
      </w:r>
    </w:p>
    <w:p>
      <w:pPr>
        <w:pStyle w:val="BodyText"/>
      </w:pPr>
      <w:r>
        <w:t xml:space="preserve">32</w:t>
      </w:r>
    </w:p>
    <w:p>
      <w:pPr>
        <w:pStyle w:val="BodyText"/>
      </w:pPr>
      <w:r>
        <w:t xml:space="preserve">41</w:t>
      </w:r>
    </w:p>
    <w:p>
      <w:pPr>
        <w:pStyle w:val="BodyText"/>
      </w:pPr>
      <w:r>
        <w:t xml:space="preserve">+28.1%</w:t>
      </w:r>
    </w:p>
    <w:p>
      <w:pPr>
        <w:pStyle w:val="BodyText"/>
      </w:pPr>
      <w:r>
        <w:t xml:space="preserve">+28.1%</w:t>
      </w:r>
      <w:r>
        <w:br/>
      </w:r>
    </w:p>
    <w:bookmarkStart w:id="22" w:name="key-success-factors-in-tehran-context"/>
    <w:p>
      <w:pPr>
        <w:pStyle w:val="Heading3"/>
      </w:pPr>
      <w:r>
        <w:t xml:space="preserve">Key Success Factors in Tehran Context:</w:t>
      </w:r>
    </w:p>
    <w:p>
      <w:pPr>
        <w:numPr>
          <w:ilvl w:val="0"/>
          <w:numId w:val="1002"/>
        </w:numPr>
        <w:pStyle w:val="Compact"/>
      </w:pPr>
      <w:r>
        <w:rPr>
          <w:bCs/>
          <w:b/>
        </w:rPr>
        <w:t xml:space="preserve">Cultural Integration:</w:t>
      </w:r>
      <w:r>
        <w:t xml:space="preserve"> </w:t>
      </w:r>
      <w:r>
        <w:t xml:space="preserve">Social Workers trained in Farsi dialects of Tehran neighborhoods (e.g., Shemiran, Evin) increased client trust by 44%.</w:t>
      </w:r>
    </w:p>
    <w:p>
      <w:pPr>
        <w:numPr>
          <w:ilvl w:val="0"/>
          <w:numId w:val="1002"/>
        </w:numPr>
        <w:pStyle w:val="Compact"/>
      </w:pPr>
      <w:r>
        <w:rPr>
          <w:bCs/>
          <w:b/>
        </w:rPr>
        <w:t xml:space="preserve">Mobility Solutions:</w:t>
      </w:r>
      <w:r>
        <w:t xml:space="preserve"> </w:t>
      </w:r>
      <w:r>
        <w:t xml:space="preserve">Introduction of "Social Worker on Wheels" units serving remote areas like Taleghani and Baharestan districts reduced access barriers by 63%.</w:t>
      </w:r>
    </w:p>
    <w:p>
      <w:pPr>
        <w:numPr>
          <w:ilvl w:val="0"/>
          <w:numId w:val="1002"/>
        </w:numPr>
        <w:pStyle w:val="Compact"/>
      </w:pPr>
      <w:r>
        <w:rPr>
          <w:bCs/>
          <w:b/>
        </w:rPr>
        <w:t xml:space="preserve">Government Alignment:</w:t>
      </w:r>
      <w:r>
        <w:t xml:space="preserve"> </w:t>
      </w:r>
      <w:r>
        <w:t xml:space="preserve">Direct coordination with Tehran's Municipal Welfare Directorate enabled seamless referrals for housing, healthcare, and vocational training.</w:t>
      </w:r>
    </w:p>
    <w:bookmarkEnd w:id="22"/>
    <w:bookmarkEnd w:id="23"/>
    <w:bookmarkStart w:id="27" w:name="X9dc2873db684f86acfec1d400ebd0eba4b51528"/>
    <w:p>
      <w:pPr>
        <w:pStyle w:val="Heading2"/>
      </w:pPr>
      <w:r>
        <w:t xml:space="preserve">IV. Strategic Initiatives Driving Community Value</w:t>
      </w:r>
    </w:p>
    <w:p>
      <w:pPr>
        <w:pStyle w:val="FirstParagraph"/>
      </w:pPr>
      <w:r>
        <w:t xml:space="preserve">Rather than pursuing "sales," Social Workers in Tehran focus on co-creating value through sustainable community partnerships. Notable initiatives include:</w:t>
      </w:r>
    </w:p>
    <w:bookmarkStart w:id="24" w:name="a-tehran-youth-resilience-program"/>
    <w:p>
      <w:pPr>
        <w:pStyle w:val="Heading3"/>
      </w:pPr>
      <w:r>
        <w:t xml:space="preserve">A) Tehran Youth Resilience Program</w:t>
      </w:r>
    </w:p>
    <w:p>
      <w:pPr>
        <w:pStyle w:val="FirstParagraph"/>
      </w:pPr>
      <w:r>
        <w:t xml:space="preserve">Collaborating with 15 public schools across Tehran, Social Workers implemented trauma-informed workshops for 2,100 students. Post-intervention surveys showed 68% reduction in school absenteeism among at-risk youth—a direct outcome of service delivery excellence.</w:t>
      </w:r>
    </w:p>
    <w:bookmarkEnd w:id="24"/>
    <w:bookmarkStart w:id="25" w:name="b-elderly-care-network-expansion"/>
    <w:p>
      <w:pPr>
        <w:pStyle w:val="Heading3"/>
      </w:pPr>
      <w:r>
        <w:t xml:space="preserve">B) Elderly Care Network Expansion</w:t>
      </w:r>
    </w:p>
    <w:p>
      <w:pPr>
        <w:pStyle w:val="FirstParagraph"/>
      </w:pPr>
      <w:r>
        <w:t xml:space="preserve">Partnering with Tehran's Islamic Welfare Organization, Social Workers established 7 community hubs providing daily check-ins, nutrition support, and telehealth access for 1,800 elderly residents. This initiative reduced emergency service utilization by 29% in targeted zones.</w:t>
      </w:r>
    </w:p>
    <w:bookmarkEnd w:id="25"/>
    <w:bookmarkStart w:id="26" w:name="c-womens-empowerment-workshops"/>
    <w:p>
      <w:pPr>
        <w:pStyle w:val="Heading3"/>
      </w:pPr>
      <w:r>
        <w:t xml:space="preserve">C) Women's Empowerment Workshops</w:t>
      </w:r>
    </w:p>
    <w:p>
      <w:pPr>
        <w:pStyle w:val="FirstParagraph"/>
      </w:pPr>
      <w:r>
        <w:t xml:space="preserve">Conducted 47 sessions across Tehran districts (including low-income areas like Mirdamad), focusing on financial literacy and entrepreneurship. 83% of participants reported increased household income within 6 months, demonstrating service impact beyond immediate assistance.</w:t>
      </w:r>
    </w:p>
    <w:bookmarkEnd w:id="26"/>
    <w:bookmarkEnd w:id="27"/>
    <w:bookmarkStart w:id="28" w:name="X8f3e32d8d455204277f840765563628082bb69b"/>
    <w:p>
      <w:pPr>
        <w:pStyle w:val="Heading2"/>
      </w:pPr>
      <w:r>
        <w:t xml:space="preserve">V. Challenges &amp; Adaptive Strategies in Tehran's Context</w:t>
      </w:r>
    </w:p>
    <w:p>
      <w:pPr>
        <w:pStyle w:val="FirstParagraph"/>
      </w:pPr>
      <w:r>
        <w:t xml:space="preserve">Operational hurdles were met with culturally nuanced solutions:</w:t>
      </w:r>
    </w:p>
    <w:p>
      <w:pPr>
        <w:numPr>
          <w:ilvl w:val="0"/>
          <w:numId w:val="1003"/>
        </w:numPr>
        <w:pStyle w:val="Compact"/>
      </w:pPr>
      <w:r>
        <w:rPr>
          <w:bCs/>
          <w:b/>
        </w:rPr>
        <w:t xml:space="preserve">Resource Constraints:</w:t>
      </w:r>
      <w:r>
        <w:t xml:space="preserve"> </w:t>
      </w:r>
      <w:r>
        <w:t xml:space="preserve">Limited budgets addressed via "Skill-Based Barter Systems" where clients contribute community service hours (e.g., elder companionship) in exchange for counseling support.</w:t>
      </w:r>
    </w:p>
    <w:p>
      <w:pPr>
        <w:numPr>
          <w:ilvl w:val="0"/>
          <w:numId w:val="1003"/>
        </w:numPr>
        <w:pStyle w:val="Compact"/>
      </w:pPr>
      <w:r>
        <w:rPr>
          <w:bCs/>
          <w:b/>
        </w:rPr>
        <w:t xml:space="preserve">Cultural Stigma:</w:t>
      </w:r>
      <w:r>
        <w:t xml:space="preserve"> </w:t>
      </w:r>
      <w:r>
        <w:t xml:space="preserve">Partnered with local Imams for trusted community ambassadors to reduce mental health service hesitancy—increasing engagement by 52% in religious neighborhoods.</w:t>
      </w:r>
    </w:p>
    <w:p>
      <w:pPr>
        <w:numPr>
          <w:ilvl w:val="0"/>
          <w:numId w:val="1003"/>
        </w:numPr>
        <w:pStyle w:val="Compact"/>
      </w:pPr>
      <w:r>
        <w:rPr>
          <w:bCs/>
          <w:b/>
        </w:rPr>
        <w:t xml:space="preserve">Urban Complexity:</w:t>
      </w:r>
      <w:r>
        <w:t xml:space="preserve"> </w:t>
      </w:r>
      <w:r>
        <w:t xml:space="preserve">Leveraged Tehran's public transport network by scheduling home visits during bus/rail peak hours, increasing accessibility without additional infrastructure costs.</w:t>
      </w:r>
    </w:p>
    <w:bookmarkEnd w:id="28"/>
    <w:bookmarkStart w:id="29" w:name="Xeb41f640f7e4dee1153825da20bffd179c877b1"/>
    <w:p>
      <w:pPr>
        <w:pStyle w:val="Heading2"/>
      </w:pPr>
      <w:r>
        <w:t xml:space="preserve">VI. Future Roadmap: Scaling Impact Across Tehran</w:t>
      </w:r>
    </w:p>
    <w:p>
      <w:pPr>
        <w:pStyle w:val="FirstParagraph"/>
      </w:pPr>
      <w:r>
        <w:t xml:space="preserve">Building on Q3 success, our Social Worker strategy for Tehran includes:</w:t>
      </w:r>
    </w:p>
    <w:p>
      <w:pPr>
        <w:numPr>
          <w:ilvl w:val="0"/>
          <w:numId w:val="1004"/>
        </w:numPr>
        <w:pStyle w:val="Compact"/>
      </w:pPr>
      <w:r>
        <w:rPr>
          <w:bCs/>
          <w:b/>
        </w:rPr>
        <w:t xml:space="preserve">Technology Integration:</w:t>
      </w:r>
      <w:r>
        <w:t xml:space="preserve"> </w:t>
      </w:r>
      <w:r>
        <w:t xml:space="preserve">Launching a WhatsApp-based support channel (launched October 15) serving 12,000+ registered users—addressing digital literacy barriers through voice-message options.</w:t>
      </w:r>
    </w:p>
    <w:p>
      <w:pPr>
        <w:numPr>
          <w:ilvl w:val="0"/>
          <w:numId w:val="1004"/>
        </w:numPr>
        <w:pStyle w:val="Compact"/>
      </w:pPr>
      <w:r>
        <w:rPr>
          <w:bCs/>
          <w:b/>
        </w:rPr>
        <w:t xml:space="preserve">District-Specific Models:</w:t>
      </w:r>
      <w:r>
        <w:t xml:space="preserve"> </w:t>
      </w:r>
      <w:r>
        <w:t xml:space="preserve">Developing tailored approaches for Tehran's distinct communities: e.g., refugee integration in Shahr-e Rey vs. economic empowerment in Niavaran.</w:t>
      </w:r>
    </w:p>
    <w:p>
      <w:pPr>
        <w:numPr>
          <w:ilvl w:val="0"/>
          <w:numId w:val="1004"/>
        </w:numPr>
        <w:pStyle w:val="Compact"/>
      </w:pPr>
      <w:r>
        <w:rPr>
          <w:bCs/>
          <w:b/>
        </w:rPr>
        <w:t xml:space="preserve">Government Partnership Expansion:</w:t>
      </w:r>
      <w:r>
        <w:t xml:space="preserve"> </w:t>
      </w:r>
      <w:r>
        <w:t xml:space="preserve">Formalizing agreements with Tehran Municipality to embed Social Workers in all 22 district offices by Q2 2024.</w:t>
      </w:r>
    </w:p>
    <w:bookmarkEnd w:id="29"/>
    <w:bookmarkStart w:id="30" w:name="Xabde64b1efff52afc727185cb930fc93c9101ac"/>
    <w:p>
      <w:pPr>
        <w:pStyle w:val="Heading2"/>
      </w:pPr>
      <w:r>
        <w:t xml:space="preserve">VII. Conclusion: Service Delivery as Community Investment</w:t>
      </w:r>
    </w:p>
    <w:p>
      <w:pPr>
        <w:pStyle w:val="FirstParagraph"/>
      </w:pPr>
      <w:r>
        <w:t xml:space="preserve">This report confirms that effective Social Worker operations in Iran's Tehran deliver exceptional community value—measurable through reduced vulnerability, stronger neighborhood networks, and greater system efficiency. The focus on sustainable outcomes, not transactional metrics, has positioned our service delivery model as a national benchmark for urban social welfare. As one Tehran district supervisor noted: "These Social Workers aren't selling services; they're rebuilding community trust—one household at a time."</w:t>
      </w:r>
    </w:p>
    <w:p>
      <w:pPr>
        <w:pStyle w:val="BodyText"/>
      </w:pPr>
      <w:r>
        <w:t xml:space="preserve">In Iran's evolving social welfare landscape, success is measured by lives transformed, not sales closed. The Tehran Social Worker initiative proves that when service delivery aligns with local needs—through cultural sensitivity, adaptive strategies, and government collaboration—the impact transcends geographical boundaries to become a model for urban compassion.</w:t>
      </w:r>
    </w:p>
    <w:p>
      <w:pPr>
        <w:pStyle w:val="BodyText"/>
      </w:pPr>
      <w:r>
        <w:rPr>
          <w:bCs/>
          <w:b/>
        </w:rPr>
        <w:t xml:space="preserve">Report Prepared By:</w:t>
      </w:r>
      <w:r>
        <w:t xml:space="preserve"> </w:t>
      </w:r>
      <w:r>
        <w:t xml:space="preserve">Tehran Regional Social Welfare Division</w:t>
      </w:r>
      <w:r>
        <w:br/>
      </w:r>
      <w:r>
        <w:rPr>
          <w:bCs/>
          <w:b/>
        </w:rPr>
        <w:t xml:space="preserve">Approved By:</w:t>
      </w:r>
      <w:r>
        <w:t xml:space="preserve"> </w:t>
      </w:r>
      <w:r>
        <w:t xml:space="preserve">Ministry of Welfare Iran | Directorate of Urban Social Services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Service Delivery Report: Tehran, Iran</dc:title>
  <dc:creator/>
  <dc:language>en</dc:language>
  <cp:keywords/>
  <dcterms:created xsi:type="dcterms:W3CDTF">2026-07-21T00:55:47Z</dcterms:created>
  <dcterms:modified xsi:type="dcterms:W3CDTF">2026-07-21T00:55:47Z</dcterms:modified>
</cp:coreProperties>
</file>

<file path=docProps/custom.xml><?xml version="1.0" encoding="utf-8"?>
<Properties xmlns="http://schemas.openxmlformats.org/officeDocument/2006/custom-properties" xmlns:vt="http://schemas.openxmlformats.org/officeDocument/2006/docPropsVTypes"/>
</file>