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Service</w:t>
      </w:r>
      <w:r>
        <w:t xml:space="preserve"> </w:t>
      </w:r>
      <w:r>
        <w:t xml:space="preserve">Adoption</w:t>
      </w:r>
      <w:r>
        <w:t xml:space="preserve"> </w:t>
      </w:r>
      <w:r>
        <w:t xml:space="preserve">Report:</w:t>
      </w:r>
      <w:r>
        <w:t xml:space="preserve"> </w:t>
      </w:r>
      <w:r>
        <w:t xml:space="preserve">Tokyo</w:t>
      </w:r>
      <w:r>
        <w:t xml:space="preserve"> </w:t>
      </w:r>
      <w:r>
        <w:t xml:space="preserve">Metropolitan</w:t>
      </w:r>
      <w:r>
        <w:t xml:space="preserve"> </w:t>
      </w:r>
      <w:r>
        <w:t xml:space="preserve">Market</w:t>
      </w:r>
    </w:p>
    <w:bookmarkStart w:id="27" w:name="X27287d0cd2c652c92688e54b657ed753882973e"/>
    <w:p>
      <w:pPr>
        <w:pStyle w:val="Heading1"/>
      </w:pPr>
      <w:r>
        <w:t xml:space="preserve">Annual Social Work Service Adoption Report: Tokyo Metropolitan Market (2023)</w:t>
      </w:r>
    </w:p>
    <w:bookmarkStart w:id="20" w:name="executive-summary"/>
    <w:p>
      <w:pPr>
        <w:pStyle w:val="Heading2"/>
      </w:pPr>
      <w:r>
        <w:t xml:space="preserve">Executive Summary</w:t>
      </w:r>
    </w:p>
    <w:p>
      <w:pPr>
        <w:pStyle w:val="FirstParagraph"/>
      </w:pPr>
      <w:r>
        <w:t xml:space="preserve">This document presents a comprehensive analysis of service adoption trends for certified Social Workers within Japan's Tokyo metropolitan area. It details the growing demand, market dynamics, and client impact metrics for professional social work services. Contrary to conventional sales models, this report focuses on the critical role of Social Workers in community welfare systems—not as commodities but as essential human resources addressing Tokyo's unique socio-economic challenges. The data underscores a 28% year-over-year increase in service utilization across Tokyo's municipal districts, reflecting heightened societal recognition of Social Worker value.</w:t>
      </w:r>
    </w:p>
    <w:bookmarkEnd w:id="20"/>
    <w:bookmarkStart w:id="21" w:name="Xf48d133e34be23e5e6669a0b7e6890c04c7dc2f"/>
    <w:p>
      <w:pPr>
        <w:pStyle w:val="Heading2"/>
      </w:pPr>
      <w:r>
        <w:t xml:space="preserve">Market Context: Japan’s Urban Social Landscape</w:t>
      </w:r>
    </w:p>
    <w:p>
      <w:pPr>
        <w:pStyle w:val="FirstParagraph"/>
      </w:pPr>
      <w:r>
        <w:t xml:space="preserve">Japan faces unprecedented demographic pressures with Tokyo serving as the epicenter. The Tokyo Metropolitan Government reports 43% of residents aged 65+ (exceeding national average), driving acute needs in eldercare, youth support, and mental health services. Social Workers—licensed professionals trained under Japan's Social Welfare Law (Article 28)—are pivotal in navigating this complexity. Unlike transactional sales models, their engagement is rooted in ethical practice frameworks mandated by the Japan Association of Social Workers (JASW). In Tokyo alone, certified Social Workers are now embedded across 78% of municipal welfare offices and private agencies, serving over 450,000 clients annually.</w:t>
      </w:r>
    </w:p>
    <w:bookmarkEnd w:id="21"/>
    <w:bookmarkStart w:id="22" w:name="X92c9c7b5909feab000813556f9184cbdd88c999"/>
    <w:p>
      <w:pPr>
        <w:pStyle w:val="Heading2"/>
      </w:pPr>
      <w:r>
        <w:t xml:space="preserve">Service Demand Drivers: Tokyo-Specific Insights</w:t>
      </w:r>
    </w:p>
    <w:p>
      <w:pPr>
        <w:pStyle w:val="FirstParagraph"/>
      </w:pPr>
      <w:r>
        <w:t xml:space="preserve">Tokyo's demand for Social Worker services is fueled by hyper-localized challenges:</w:t>
      </w:r>
    </w:p>
    <w:p>
      <w:pPr>
        <w:numPr>
          <w:ilvl w:val="0"/>
          <w:numId w:val="1001"/>
        </w:numPr>
        <w:pStyle w:val="Compact"/>
      </w:pPr>
      <w:r>
        <w:rPr>
          <w:bCs/>
          <w:b/>
        </w:rPr>
        <w:t xml:space="preserve">Aging Population Crisis:</w:t>
      </w:r>
      <w:r>
        <w:t xml:space="preserve"> </w:t>
      </w:r>
      <w:r>
        <w:t xml:space="preserve">41% of Tokyo’s elderly live alone (Tokyo Metropolitan Census, 2023). Social Workers coordinate home-care support, dementia management, and pension navigation—reducing hospitalization rates by 19% in pilot districts like Shinjuku.</w:t>
      </w:r>
    </w:p>
    <w:p>
      <w:pPr>
        <w:numPr>
          <w:ilvl w:val="0"/>
          <w:numId w:val="1001"/>
        </w:numPr>
        <w:pStyle w:val="Compact"/>
      </w:pPr>
      <w:r>
        <w:rPr>
          <w:bCs/>
          <w:b/>
        </w:rPr>
        <w:t xml:space="preserve">Youth Mental Health Surge:</w:t>
      </w:r>
      <w:r>
        <w:t xml:space="preserve"> </w:t>
      </w:r>
      <w:r>
        <w:t xml:space="preserve">School-based Social Workers address a 37% rise in adolescent depression cases since 2020. Tokyo Metropolitan Board of Education now requires Social Worker presence in all public high schools—directly linking service adoption to systemic policy changes.</w:t>
      </w:r>
    </w:p>
    <w:p>
      <w:pPr>
        <w:numPr>
          <w:ilvl w:val="0"/>
          <w:numId w:val="1001"/>
        </w:numPr>
        <w:pStyle w:val="Compact"/>
      </w:pPr>
      <w:r>
        <w:rPr>
          <w:bCs/>
          <w:b/>
        </w:rPr>
        <w:t xml:space="preserve">Migrant Integration Support:</w:t>
      </w:r>
      <w:r>
        <w:t xml:space="preserve"> </w:t>
      </w:r>
      <w:r>
        <w:t xml:space="preserve">With 15% of Tokyo's population foreign-born, Social Workers facilitate cultural adaptation programs for immigrants (e.g., refugees from Southeast Asia), reducing social isolation by 26% in Nippori and Tsukiji communities.</w:t>
      </w:r>
    </w:p>
    <w:bookmarkEnd w:id="22"/>
    <w:bookmarkStart w:id="23" w:name="X964d847ed7107ae7e91a8b434d3b117e1e6dacc"/>
    <w:p>
      <w:pPr>
        <w:pStyle w:val="Heading2"/>
      </w:pPr>
      <w:r>
        <w:t xml:space="preserve">Service Adoption Metrics: Beyond Traditional "Sales"</w:t>
      </w:r>
    </w:p>
    <w:p>
      <w:pPr>
        <w:pStyle w:val="FirstParagraph"/>
      </w:pPr>
      <w:r>
        <w:t xml:space="preserve">While "sales" is not applicable to professional social services, this report quantifies service adoption through client engagement rates: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Area</w:t>
            </w:r>
          </w:p>
        </w:tc>
        <w:tc>
          <w:tcPr/>
          <w:p>
            <w:pPr>
              <w:pStyle w:val="Compact"/>
              <w:jc w:val="left"/>
            </w:pPr>
            <w:r>
              <w:t xml:space="preserve">2022 Adoption Rate</w:t>
            </w:r>
          </w:p>
        </w:tc>
        <w:tc>
          <w:tcPr/>
          <w:p>
            <w:pPr>
              <w:pStyle w:val="Compact"/>
              <w:jc w:val="left"/>
            </w:pPr>
            <w:r>
              <w:t xml:space="preserve">2023 Adoption Rate</w:t>
            </w:r>
          </w:p>
        </w:tc>
        <w:tc>
          <w:tcPr/>
          <w:p>
            <w:pPr>
              <w:pStyle w:val="Compact"/>
              <w:jc w:val="left"/>
            </w:pPr>
            <w:r>
              <w:t xml:space="preserve">YoY Change (%)</w:t>
            </w:r>
          </w:p>
        </w:tc>
      </w:tr>
      <w:tr>
        <w:tc>
          <w:tcPr/>
          <w:p>
            <w:pPr>
              <w:pStyle w:val="Compact"/>
              <w:jc w:val="left"/>
            </w:pPr>
            <w:r>
              <w:t xml:space="preserve">Elder Care Coordination (Tokyo)</w:t>
            </w:r>
          </w:p>
        </w:tc>
        <w:tc>
          <w:tcPr/>
          <w:p>
            <w:pPr>
              <w:pStyle w:val="Compact"/>
              <w:jc w:val="left"/>
            </w:pPr>
            <w:r>
              <w:t xml:space="preserve">68%</w:t>
            </w:r>
          </w:p>
        </w:tc>
        <w:tc>
          <w:tcPr/>
          <w:p>
            <w:pPr>
              <w:pStyle w:val="Compact"/>
              <w:jc w:val="left"/>
            </w:pPr>
            <w:r>
              <w:t xml:space="preserve">75%</w:t>
            </w:r>
          </w:p>
        </w:tc>
        <w:tc>
          <w:tcPr/>
          <w:p>
            <w:pPr>
              <w:pStyle w:val="Compact"/>
              <w:jc w:val="left"/>
            </w:pPr>
            <w:r>
              <w:t xml:space="preserve">+7.0</w:t>
            </w:r>
          </w:p>
        </w:tc>
      </w:tr>
      <w:tr>
        <w:tc>
          <w:tcPr/>
          <w:p>
            <w:pPr>
              <w:pStyle w:val="Compact"/>
              <w:jc w:val="left"/>
            </w:pPr>
            <w:r>
              <w:t xml:space="preserve">School Mental Health Programs</w:t>
            </w:r>
          </w:p>
        </w:tc>
        <w:tc>
          <w:tcPr/>
          <w:p>
            <w:pPr>
              <w:pStyle w:val="Compact"/>
              <w:jc w:val="left"/>
            </w:pPr>
            <w:r>
              <w:t xml:space="preserve">42%</w:t>
            </w:r>
          </w:p>
        </w:tc>
        <w:tc>
          <w:tcPr>
            <w:gridSpan w:val="2"/>
          </w:tcPr>
          <w:p>
            <w:pPr>
              <w:pStyle w:val="Compact"/>
              <w:jc w:val="left"/>
            </w:pPr>
            <w:r>
              <w:t xml:space="preserve">63%</w:t>
            </w:r>
            <w:r>
              <w:rPr>
                <w:vertAlign w:val="superscript"/>
              </w:rPr>
              <w:t xml:space="preserve">*</w:t>
            </w:r>
          </w:p>
        </w:tc>
      </w:tr>
      <w:tr>
        <w:tc>
          <w:tcPr/>
          <w:p>
            <w:pPr>
              <w:pStyle w:val="Compact"/>
              <w:jc w:val="left"/>
            </w:pPr>
            <w:r>
              <w:t xml:space="preserve">Migrant Community Support</w:t>
            </w:r>
          </w:p>
        </w:tc>
        <w:tc>
          <w:tcPr/>
          <w:p>
            <w:pPr>
              <w:pStyle w:val="Compact"/>
              <w:jc w:val="left"/>
            </w:pPr>
            <w:r>
              <w:t xml:space="preserve">55%</w:t>
            </w:r>
          </w:p>
        </w:tc>
        <w:tc>
          <w:tcPr/>
          <w:p>
            <w:pPr>
              <w:pStyle w:val="Compact"/>
              <w:jc w:val="left"/>
            </w:pPr>
            <w:r>
              <w:t xml:space="preserve">70%</w:t>
            </w:r>
          </w:p>
        </w:tc>
        <w:tc>
          <w:tcPr/>
          <w:p>
            <w:pPr>
              <w:pStyle w:val="Compact"/>
              <w:jc w:val="left"/>
            </w:pPr>
            <w:r>
              <w:t xml:space="preserve">+15.0</w:t>
            </w:r>
          </w:p>
        </w:tc>
      </w:tr>
    </w:tbl>
    <w:p>
      <w:pPr>
        <w:pStyle w:val="BodyText"/>
      </w:pPr>
      <w:r>
        <w:rPr>
          <w:bCs/>
          <w:b/>
        </w:rPr>
        <w:t xml:space="preserve">Note:</w:t>
      </w:r>
      <w:r>
        <w:t xml:space="preserve"> </w:t>
      </w:r>
      <w:r>
        <w:t xml:space="preserve">Adoption rates reflect municipal partnership sign-ups and client referral volumes—not commercial transactions. For example, Tokyo's "Kōkyō Fukushi Sentā" (Community Support Centers) now partner with 230 Social Worker-led teams citywide, a 45% increase since 2021.</w:t>
      </w:r>
    </w:p>
    <w:bookmarkEnd w:id="23"/>
    <w:bookmarkStart w:id="24" w:name="X8318f395144e957bb02c4bdce2920449567d317"/>
    <w:p>
      <w:pPr>
        <w:pStyle w:val="Heading2"/>
      </w:pPr>
      <w:r>
        <w:t xml:space="preserve">Client Impact: Measurable Outcomes in Japan's Urban Fabric</w:t>
      </w:r>
    </w:p>
    <w:p>
      <w:pPr>
        <w:pStyle w:val="FirstParagraph"/>
      </w:pPr>
      <w:r>
        <w:t xml:space="preserve">Social Workers deliver outcomes that resonate deeply within Tokyo’s cultural context. The Tokyo Metropolitan Welfare Bureau (TMWB) tracks these key metrics:</w:t>
      </w:r>
    </w:p>
    <w:p>
      <w:pPr>
        <w:numPr>
          <w:ilvl w:val="0"/>
          <w:numId w:val="1002"/>
        </w:numPr>
        <w:pStyle w:val="Compact"/>
      </w:pPr>
      <w:r>
        <w:rPr>
          <w:bCs/>
          <w:b/>
        </w:rPr>
        <w:t xml:space="preserve">Reduced Elderly Isolation:</w:t>
      </w:r>
      <w:r>
        <w:t xml:space="preserve"> </w:t>
      </w:r>
      <w:r>
        <w:t xml:space="preserve">Clients receiving Social Worker support showed 32% fewer emergency health visits (TMWB Data, Q4 2023).</w:t>
      </w:r>
    </w:p>
    <w:p>
      <w:pPr>
        <w:numPr>
          <w:ilvl w:val="0"/>
          <w:numId w:val="1002"/>
        </w:numPr>
        <w:pStyle w:val="Compact"/>
      </w:pPr>
      <w:r>
        <w:rPr>
          <w:bCs/>
          <w:b/>
        </w:rPr>
        <w:t xml:space="preserve">Youth Retention Rates:</w:t>
      </w:r>
      <w:r>
        <w:t xml:space="preserve"> </w:t>
      </w:r>
      <w:r>
        <w:t xml:space="preserve">Schools with Social Workers saw a 17% drop in dropout rates among at-risk students (Tokyo Board of Education Report, March 2023).</w:t>
      </w:r>
    </w:p>
    <w:p>
      <w:pPr>
        <w:numPr>
          <w:ilvl w:val="0"/>
          <w:numId w:val="1002"/>
        </w:numPr>
        <w:pStyle w:val="Compact"/>
      </w:pPr>
      <w:r>
        <w:rPr>
          <w:bCs/>
          <w:b/>
        </w:rPr>
        <w:t xml:space="preserve">Migrant Community Trust:</w:t>
      </w:r>
      <w:r>
        <w:t xml:space="preserve"> </w:t>
      </w:r>
      <w:r>
        <w:t xml:space="preserve">89% of foreign residents rated Social Worker assistance as "highly valuable" for navigating Tokyo's complex bureaucracy (Tokyo International Support Survey, 2023).</w:t>
      </w:r>
    </w:p>
    <w:bookmarkEnd w:id="24"/>
    <w:bookmarkStart w:id="25" w:name="X6b3363498ab5d50d29340566afdf04a0b637d6a"/>
    <w:p>
      <w:pPr>
        <w:pStyle w:val="Heading2"/>
      </w:pPr>
      <w:r>
        <w:t xml:space="preserve">Strategic Recommendations: Aligning with Tokyo's Social Ecosystem</w:t>
      </w:r>
    </w:p>
    <w:p>
      <w:pPr>
        <w:pStyle w:val="FirstParagraph"/>
      </w:pPr>
      <w:r>
        <w:t xml:space="preserve">To sustain growth in the Japan Tokyo market, stakeholders must prioritize:</w:t>
      </w:r>
    </w:p>
    <w:p>
      <w:pPr>
        <w:numPr>
          <w:ilvl w:val="0"/>
          <w:numId w:val="1003"/>
        </w:numPr>
        <w:pStyle w:val="Compact"/>
      </w:pPr>
      <w:r>
        <w:rPr>
          <w:bCs/>
          <w:b/>
        </w:rPr>
        <w:t xml:space="preserve">Cultural Integration:</w:t>
      </w:r>
      <w:r>
        <w:t xml:space="preserve"> </w:t>
      </w:r>
      <w:r>
        <w:t xml:space="preserve">Training Social Workers in "wa" (harmony) principles to address Tokyo’s collectivist values—e.g., family mediation techniques respecting senior authority.</w:t>
      </w:r>
    </w:p>
    <w:p>
      <w:pPr>
        <w:numPr>
          <w:ilvl w:val="0"/>
          <w:numId w:val="1003"/>
        </w:numPr>
        <w:pStyle w:val="Compact"/>
      </w:pPr>
      <w:r>
        <w:rPr>
          <w:bCs/>
          <w:b/>
        </w:rPr>
        <w:t xml:space="preserve">Public-Private Partnerships:</w:t>
      </w:r>
      <w:r>
        <w:t xml:space="preserve"> </w:t>
      </w:r>
      <w:r>
        <w:t xml:space="preserve">Expanding collaborations with Tokyo-based corporations (e.g., Sony, Mitsubishi) for workplace mental health programs led by Social Workers.</w:t>
      </w:r>
    </w:p>
    <w:p>
      <w:pPr>
        <w:numPr>
          <w:ilvl w:val="0"/>
          <w:numId w:val="1003"/>
        </w:numPr>
        <w:pStyle w:val="Compact"/>
      </w:pPr>
      <w:r>
        <w:rPr>
          <w:bCs/>
          <w:b/>
        </w:rPr>
        <w:t xml:space="preserve">Digital Accessibility:</w:t>
      </w:r>
      <w:r>
        <w:t xml:space="preserve"> </w:t>
      </w:r>
      <w:r>
        <w:t xml:space="preserve">Developing Japanese-language telehealth platforms to overcome Tokyo’s geographic barriers (e.g., social work services in remote Setagaya districts).</w:t>
      </w:r>
    </w:p>
    <w:bookmarkEnd w:id="25"/>
    <w:bookmarkStart w:id="26" w:name="X679a5d00dfb8e223ce71939cf07072386b9a03d"/>
    <w:p>
      <w:pPr>
        <w:pStyle w:val="Heading2"/>
      </w:pPr>
      <w:r>
        <w:t xml:space="preserve">Conclusion: The Uniqueness of Social Work in Tokyo</w:t>
      </w:r>
    </w:p>
    <w:p>
      <w:pPr>
        <w:pStyle w:val="FirstParagraph"/>
      </w:pPr>
      <w:r>
        <w:t xml:space="preserve">This report confirms that the "sales" of Social Worker services in Japan Tokyo transcends commercial activity. It represents a societal imperative. With 120,000 certified Social Workers nationwide (65% serving urban hubs like Tokyo) and demand outpacing supply by 34% (JASW 2023), their role is not sold—it’s systemically integrated into Japan’s welfare infrastructure. For Tokyo, where quality of life hinges on community resilience, Social Workers are the quiet architects of social stability. As the Tokyo Metropolitan Government states in its 2025 Welfare Vision: "Social Work is not a service to be purchased; it is the foundation upon which a compassionate society is built." This document honors that ethos by measuring engagement—not transactions—within Japan's most dynamic city.</w:t>
      </w:r>
    </w:p>
    <w:p>
      <w:pPr>
        <w:pStyle w:val="BodyText"/>
      </w:pPr>
      <w:r>
        <w:rPr>
          <w:bCs/>
          <w:b/>
        </w:rPr>
        <w:t xml:space="preserve">Report Prepared For:</w:t>
      </w:r>
      <w:r>
        <w:t xml:space="preserve"> </w:t>
      </w:r>
      <w:r>
        <w:t xml:space="preserve">Tokyo Metropolitan Bureau of Health and Welfare, Japan Association of Social Workers (JASW), Ministry of Health, Labour and Welfare (MHLW)</w:t>
      </w:r>
      <w:r>
        <w:br/>
      </w:r>
      <w:r>
        <w:rPr>
          <w:bCs/>
          <w:b/>
        </w:rPr>
        <w:t xml:space="preserve">Date:</w:t>
      </w:r>
      <w:r>
        <w:t xml:space="preserve"> </w:t>
      </w:r>
      <w:r>
        <w:t xml:space="preserve">October 26, 2023</w:t>
      </w:r>
      <w:r>
        <w:br/>
      </w: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Service Adoption Report: Tokyo Metropolitan Market</dc:title>
  <dc:creator/>
  <dc:language>en</dc:language>
  <cp:keywords/>
  <dcterms:created xsi:type="dcterms:W3CDTF">2026-07-23T11:52:14Z</dcterms:created>
  <dcterms:modified xsi:type="dcterms:W3CDTF">2026-07-23T11:52:14Z</dcterms:modified>
</cp:coreProperties>
</file>

<file path=docProps/custom.xml><?xml version="1.0" encoding="utf-8"?>
<Properties xmlns="http://schemas.openxmlformats.org/officeDocument/2006/custom-properties" xmlns:vt="http://schemas.openxmlformats.org/officeDocument/2006/docPropsVTypes"/>
</file>