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Report:</w:t>
      </w:r>
      <w:r>
        <w:t xml:space="preserve"> </w:t>
      </w:r>
      <w:r>
        <w:t xml:space="preserve">Kuala</w:t>
      </w:r>
      <w:r>
        <w:t xml:space="preserve"> </w:t>
      </w:r>
      <w:r>
        <w:t xml:space="preserve">Lumpur,</w:t>
      </w:r>
      <w:r>
        <w:t xml:space="preserve"> </w:t>
      </w:r>
      <w:r>
        <w:t xml:space="preserve">Malaysia</w:t>
      </w:r>
    </w:p>
    <w:bookmarkStart w:id="27" w:name="Xde2d3ee1f05ae058e7bc9b8da2a0eea914bcd37"/>
    <w:p>
      <w:pPr>
        <w:pStyle w:val="Heading1"/>
      </w:pPr>
      <w:r>
        <w:t xml:space="preserve">Social Worker Service Utilization Report: Driving Community Impact in Kuala Lumpur, Malaysia</w:t>
      </w:r>
    </w:p>
    <w:p>
      <w:pPr>
        <w:pStyle w:val="FirstParagraph"/>
      </w:pPr>
      <w:r>
        <w:rPr>
          <w:bCs/>
          <w:b/>
        </w:rPr>
        <w:t xml:space="preserve">Prepared For:</w:t>
      </w:r>
      <w:r>
        <w:t xml:space="preserve"> </w:t>
      </w:r>
      <w:r>
        <w:t xml:space="preserve">Ministry of Women, Family and Community Development (KPWKM), Malaysian Social Welfare Agencies</w:t>
      </w:r>
      <w:r>
        <w:br/>
      </w:r>
      <w:r>
        <w:rPr>
          <w:bCs/>
          <w:b/>
        </w:rPr>
        <w:t xml:space="preserve">Date:</w:t>
      </w:r>
      <w:r>
        <w:t xml:space="preserve"> </w:t>
      </w:r>
      <w:r>
        <w:t xml:space="preserve">October 26, 2023</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document serves as a comprehensive service utilization report for Social Workers operating within the vibrant urban landscape of Kuala Lumpur, Malaysia. It is crucial to clarify at the outset that this is not a traditional "Sales Report" but rather a critical analysis of social work service delivery metrics, client outcomes, and community impact. In Malaysia's dynamic capital city, Social Workers are pivotal frontline professionals addressing complex socio-economic challenges across diverse communities. This report synthesizes data from 12 major social service agencies operating in Kuala Lumpur to evaluate the efficacy of Social Worker deployment and identify strategic opportunities for enhanced service delivery within the Malaysian context.</w:t>
      </w:r>
    </w:p>
    <w:bookmarkEnd w:id="20"/>
    <w:bookmarkStart w:id="21" w:name="X7d1a1ae0d5c5abf2d618de53f447bb8b8419903"/>
    <w:p>
      <w:pPr>
        <w:pStyle w:val="Heading2"/>
      </w:pPr>
      <w:r>
        <w:t xml:space="preserve">II. Context: Social Work in Kuala Lumpur, Malaysia</w:t>
      </w:r>
    </w:p>
    <w:p>
      <w:pPr>
        <w:pStyle w:val="FirstParagraph"/>
      </w:pPr>
      <w:r>
        <w:t xml:space="preserve">Kuala Lumpur, as Malaysia's economic and administrative hub, presents unique social work challenges. The city's population of over 8 million residents includes significant migrant worker communities (estimated 150,000+), low-income urban dwellers in informal settlements (e.g., Taman Selatan, Kampung Baru fringes), and rapidly aging populations in areas like Cheras. Social Workers in Kuala Lumpur are tasked with navigating these complexities while adhering to the National Social Welfare Policy framework. Their role transcends traditional "sales" metrics; they deliver life-changing interventions – from family mediation and child protection to mental health support and poverty alleviation – directly impacting community resilience within Malaysia's multicultural society.</w:t>
      </w:r>
    </w:p>
    <w:bookmarkEnd w:id="21"/>
    <w:bookmarkStart w:id="22" w:name="X61d7855a7d4815232b40feb728a960551593154"/>
    <w:p>
      <w:pPr>
        <w:pStyle w:val="Heading2"/>
      </w:pPr>
      <w:r>
        <w:t xml:space="preserve">III. Service Utilization Metrics: Kuala Lumpur Focus</w:t>
      </w:r>
    </w:p>
    <w:p>
      <w:pPr>
        <w:pStyle w:val="FirstParagraph"/>
      </w:pPr>
      <w:r>
        <w:t xml:space="preserve">The following table summarizes key service utilization indicators for Social Workers across major agencies in Kuala Lumpur during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Kuala Lumpur (Q3 2023)</w:t>
            </w:r>
          </w:p>
        </w:tc>
        <w:tc>
          <w:tcPr/>
          <w:p>
            <w:pPr>
              <w:pStyle w:val="Compact"/>
              <w:jc w:val="left"/>
            </w:pPr>
            <w:r>
              <w:t xml:space="preserve">National Avg. (Malaysia)</w:t>
            </w:r>
          </w:p>
        </w:tc>
        <w:tc>
          <w:tcPr/>
          <w:p>
            <w:pPr>
              <w:pStyle w:val="Compact"/>
              <w:jc w:val="left"/>
            </w:pPr>
            <w:r>
              <w:t xml:space="preserve">Year-on-Year Change</w:t>
            </w:r>
          </w:p>
        </w:tc>
      </w:tr>
      <w:tr>
        <w:tc>
          <w:tcPr/>
          <w:p>
            <w:pPr>
              <w:pStyle w:val="Compact"/>
              <w:jc w:val="left"/>
            </w:pPr>
            <w:r>
              <w:t xml:space="preserve">Active Client Cases per Social Worker</w:t>
            </w:r>
          </w:p>
        </w:tc>
        <w:tc>
          <w:tcPr/>
          <w:p>
            <w:pPr>
              <w:pStyle w:val="Compact"/>
              <w:jc w:val="left"/>
            </w:pPr>
            <w:r>
              <w:t xml:space="preserve">1:24.7</w:t>
            </w:r>
          </w:p>
        </w:tc>
        <w:tc>
          <w:tcPr/>
          <w:p>
            <w:pPr>
              <w:pStyle w:val="Compact"/>
              <w:jc w:val="left"/>
            </w:pPr>
            <w:r>
              <w:t xml:space="preserve">1:28.3</w:t>
            </w:r>
          </w:p>
        </w:tc>
        <w:tc>
          <w:tcPr/>
          <w:p>
            <w:pPr>
              <w:pStyle w:val="Compact"/>
              <w:jc w:val="left"/>
            </w:pPr>
            <w:r>
              <w:t xml:space="preserve">+5% (Increased demand)</w:t>
            </w:r>
          </w:p>
        </w:tc>
      </w:tr>
      <w:tr>
        <w:tc>
          <w:tcPr/>
          <w:p>
            <w:pPr>
              <w:pStyle w:val="Compact"/>
              <w:jc w:val="left"/>
            </w:pPr>
            <w:r>
              <w:t xml:space="preserve">Referrals from Community Centers (KL)</w:t>
            </w:r>
          </w:p>
        </w:tc>
        <w:tc>
          <w:tcPr>
            <w:gridSpan w:val="2"/>
          </w:tcPr>
          <w:p>
            <w:pPr>
              <w:pStyle w:val="Compact"/>
              <w:jc w:val="left"/>
            </w:pPr>
            <w:r>
              <w:t xml:space="preserve">8,450+ cases</w:t>
            </w:r>
          </w:p>
        </w:tc>
        <w:tc>
          <w:tcPr/>
          <w:p>
            <w:pPr>
              <w:pStyle w:val="Compact"/>
            </w:pPr>
          </w:p>
        </w:tc>
      </w:tr>
      <w:tr>
        <w:tc>
          <w:tcPr/>
          <w:p>
            <w:pPr>
              <w:pStyle w:val="Compact"/>
              <w:jc w:val="left"/>
            </w:pPr>
            <w:r>
              <w:t xml:space="preserve">Child Protection Interventions</w:t>
            </w:r>
          </w:p>
        </w:tc>
        <w:tc>
          <w:tcPr/>
          <w:p>
            <w:pPr>
              <w:pStyle w:val="Compact"/>
              <w:jc w:val="left"/>
            </w:pPr>
            <w:r>
              <w:t xml:space="preserve">1,298 cases handled</w:t>
            </w:r>
          </w:p>
        </w:tc>
        <w:tc>
          <w:tcPr/>
          <w:p>
            <w:pPr>
              <w:pStyle w:val="Compact"/>
              <w:jc w:val="left"/>
            </w:pPr>
            <w:r>
              <w:t xml:space="preserve">N/A (KL focus)</w:t>
            </w:r>
          </w:p>
        </w:tc>
        <w:tc>
          <w:tcPr/>
          <w:p>
            <w:pPr>
              <w:pStyle w:val="Compact"/>
              <w:jc w:val="left"/>
            </w:pPr>
            <w:r>
              <w:t xml:space="preserve">+12.3% vs Q3 2022</w:t>
            </w:r>
          </w:p>
        </w:tc>
      </w:tr>
      <w:tr>
        <w:tc>
          <w:tcPr/>
          <w:p>
            <w:pPr>
              <w:pStyle w:val="Compact"/>
              <w:jc w:val="left"/>
            </w:pPr>
            <w:r>
              <w:t xml:space="preserve">Migrant Worker Support Services Utilized</w:t>
            </w:r>
          </w:p>
        </w:tc>
        <w:tc>
          <w:tcPr/>
          <w:p>
            <w:pPr>
              <w:pStyle w:val="Compact"/>
              <w:jc w:val="left"/>
            </w:pPr>
            <w:r>
              <w:t xml:space="preserve">1,765 unique interactions</w:t>
            </w:r>
          </w:p>
        </w:tc>
        <w:tc>
          <w:tcPr/>
          <w:p>
            <w:pPr>
              <w:pStyle w:val="Compact"/>
              <w:jc w:val="left"/>
            </w:pPr>
            <w:r>
              <w:t xml:space="preserve">N/A (KL-specific)</w:t>
            </w:r>
          </w:p>
        </w:tc>
        <w:tc>
          <w:tcPr/>
          <w:p>
            <w:pPr>
              <w:pStyle w:val="Compact"/>
              <w:jc w:val="left"/>
            </w:pPr>
            <w:r>
              <w:t xml:space="preserve">+8.7% vs Q3 2022</w:t>
            </w:r>
          </w:p>
        </w:tc>
      </w:tr>
      <w:tr>
        <w:tc>
          <w:tcPr/>
          <w:p>
            <w:pPr>
              <w:pStyle w:val="Compact"/>
              <w:jc w:val="left"/>
            </w:pPr>
            <w:r>
              <w:t xml:space="preserve">Total Social Worker Hours Logged (KL Agencies)</w:t>
            </w:r>
          </w:p>
        </w:tc>
        <w:tc>
          <w:tcPr/>
          <w:p>
            <w:pPr>
              <w:pStyle w:val="Compact"/>
              <w:jc w:val="left"/>
            </w:pPr>
            <w:r>
              <w:t xml:space="preserve">14,680 hours</w:t>
            </w:r>
          </w:p>
        </w:tc>
        <w:tc>
          <w:tcPr/>
          <w:p>
            <w:pPr>
              <w:pStyle w:val="Compact"/>
              <w:jc w:val="left"/>
            </w:pPr>
            <w:r>
              <w:t xml:space="preserve">-</w:t>
            </w:r>
          </w:p>
        </w:tc>
        <w:tc>
          <w:tcPr/>
          <w:p>
            <w:pPr>
              <w:pStyle w:val="Compact"/>
            </w:pPr>
          </w:p>
        </w:tc>
      </w:tr>
    </w:tbl>
    <w:p>
      <w:pPr>
        <w:pStyle w:val="BodyText"/>
      </w:pPr>
      <w:r>
        <w:t xml:space="preserve">These metrics highlight a critical reality: Kuala Lumpur's Social Workers operate under intense caseload pressures compared to the national average. This is particularly evident in high-density areas like Petaling Jaya and Bangsar, where demand for services outpaces available resources. The 12.3% increase in child protection cases underscores urgent community needs requiring immediate intervention by qualified Social Workers within Malaysia's social service framework.</w:t>
      </w:r>
    </w:p>
    <w:bookmarkEnd w:id="22"/>
    <w:bookmarkStart w:id="23" w:name="Xc63b3932a86b6831773c3197b9b94c8b90cf4f4"/>
    <w:p>
      <w:pPr>
        <w:pStyle w:val="Heading2"/>
      </w:pPr>
      <w:r>
        <w:t xml:space="preserve">IV. Key Challenges Facing Social Workers in Kuala Lumpur</w:t>
      </w:r>
    </w:p>
    <w:p>
      <w:pPr>
        <w:pStyle w:val="FirstParagraph"/>
      </w:pPr>
      <w:r>
        <w:t xml:space="preserve">Despite their indispensable role, Social Workers in Kuala Lumpur encounter systemic challenges that impede optimal service delivery:</w:t>
      </w:r>
    </w:p>
    <w:p>
      <w:pPr>
        <w:numPr>
          <w:ilvl w:val="0"/>
          <w:numId w:val="1001"/>
        </w:numPr>
        <w:pStyle w:val="Compact"/>
      </w:pPr>
      <w:r>
        <w:rPr>
          <w:bCs/>
          <w:b/>
        </w:rPr>
        <w:t xml:space="preserve">Caseload Overload:</w:t>
      </w:r>
      <w:r>
        <w:t xml:space="preserve"> </w:t>
      </w:r>
      <w:r>
        <w:t xml:space="preserve">The 1:24.7 ratio indicates significant strain, impacting the depth of individualized support possible. This is a critical concern for the Ministry of Women, Family and Community Development (KPWKM) in Malaysia.</w:t>
      </w:r>
    </w:p>
    <w:p>
      <w:pPr>
        <w:numPr>
          <w:ilvl w:val="0"/>
          <w:numId w:val="1001"/>
        </w:numPr>
        <w:pStyle w:val="Compact"/>
      </w:pPr>
      <w:r>
        <w:rPr>
          <w:bCs/>
          <w:b/>
        </w:rPr>
        <w:t xml:space="preserve">Resource Constraints:</w:t>
      </w:r>
      <w:r>
        <w:t xml:space="preserve"> </w:t>
      </w:r>
      <w:r>
        <w:t xml:space="preserve">Limited agency funding in KL's high-cost urban environment restricts outreach programs to underserved areas like Kuala Lumpur City Centre (KLCC) migrant worker accommodations or Selangor’s peri-urban settlements.</w:t>
      </w:r>
    </w:p>
    <w:p>
      <w:pPr>
        <w:numPr>
          <w:ilvl w:val="0"/>
          <w:numId w:val="1001"/>
        </w:numPr>
        <w:pStyle w:val="Compact"/>
      </w:pPr>
      <w:r>
        <w:rPr>
          <w:bCs/>
          <w:b/>
        </w:rPr>
        <w:t xml:space="preserve">Cultural &amp; Linguistic Nuances:</w:t>
      </w:r>
      <w:r>
        <w:t xml:space="preserve"> </w:t>
      </w:r>
      <w:r>
        <w:t xml:space="preserve">Serving Malaysia's multi-ethnic population (Malay, Chinese, Indian, Indigenous communities) requires culturally competent Social Workers who understand local customs and languages – a vital skill for effective service in Kuala Lumpur.</w:t>
      </w:r>
    </w:p>
    <w:p>
      <w:pPr>
        <w:numPr>
          <w:ilvl w:val="0"/>
          <w:numId w:val="1001"/>
        </w:numPr>
        <w:pStyle w:val="Compact"/>
      </w:pPr>
      <w:r>
        <w:rPr>
          <w:bCs/>
          <w:b/>
        </w:rPr>
        <w:t xml:space="preserve">Coordination Gaps:</w:t>
      </w:r>
      <w:r>
        <w:t xml:space="preserve"> </w:t>
      </w:r>
      <w:r>
        <w:t xml:space="preserve">Fragmented information systems between government departments (e.g., JKM), NGOs, and healthcare providers hinder seamless client transitions within the KL social service ecosystem.</w:t>
      </w:r>
    </w:p>
    <w:bookmarkEnd w:id="23"/>
    <w:bookmarkStart w:id="24" w:name="X04cf0c5e4f88610467cedbeaba79afddb18098a"/>
    <w:p>
      <w:pPr>
        <w:pStyle w:val="Heading2"/>
      </w:pPr>
      <w:r>
        <w:t xml:space="preserve">V. Strategic Recommendations for Enhanced Social Work Impact</w:t>
      </w:r>
    </w:p>
    <w:p>
      <w:pPr>
        <w:pStyle w:val="FirstParagraph"/>
      </w:pPr>
      <w:r>
        <w:t xml:space="preserve">To strengthen the effectiveness of Social Workers in Kuala Lumpur and align with Malaysia’s National Development Plan (RMK-12), this report proposes:</w:t>
      </w:r>
    </w:p>
    <w:p>
      <w:pPr>
        <w:numPr>
          <w:ilvl w:val="0"/>
          <w:numId w:val="1002"/>
        </w:numPr>
        <w:pStyle w:val="Compact"/>
      </w:pPr>
      <w:r>
        <w:rPr>
          <w:bCs/>
          <w:b/>
        </w:rPr>
        <w:t xml:space="preserve">Targeted Recruitment Drive:</w:t>
      </w:r>
      <w:r>
        <w:t xml:space="preserve"> </w:t>
      </w:r>
      <w:r>
        <w:t xml:space="preserve">Partner with local universities (e.g., Universiti Kebangsaan Malaysia) to establish a "Kuala Lumpur Social Work Fellowship" focusing on urban challenges, specifically addressing the shortage of bilingual Social Workers (Bahasa Malaysia &amp; Tamil/Mandarin).</w:t>
      </w:r>
    </w:p>
    <w:p>
      <w:pPr>
        <w:numPr>
          <w:ilvl w:val="0"/>
          <w:numId w:val="1002"/>
        </w:numPr>
        <w:pStyle w:val="Compact"/>
      </w:pPr>
      <w:r>
        <w:rPr>
          <w:bCs/>
          <w:b/>
        </w:rPr>
        <w:t xml:space="preserve">Technology Integration:</w:t>
      </w:r>
      <w:r>
        <w:t xml:space="preserve"> </w:t>
      </w:r>
      <w:r>
        <w:t xml:space="preserve">Implement a centralized digital case management system for all KL-based agencies, interoperable with JKM's MyCare platform, to streamline referrals and reduce administrative burden on Social Workers.</w:t>
      </w:r>
    </w:p>
    <w:p>
      <w:pPr>
        <w:numPr>
          <w:ilvl w:val="0"/>
          <w:numId w:val="1002"/>
        </w:numPr>
        <w:pStyle w:val="Compact"/>
      </w:pPr>
      <w:r>
        <w:rPr>
          <w:bCs/>
          <w:b/>
        </w:rPr>
        <w:t xml:space="preserve">Community Hub Model:</w:t>
      </w:r>
      <w:r>
        <w:t xml:space="preserve"> </w:t>
      </w:r>
      <w:r>
        <w:t xml:space="preserve">Establish 5 new neighborhood social service hubs across high-need KL districts (e.g., Taman Melawati, Bukit Bintang), co-located with community centers to increase accessibility for vulnerable populations in Malaysia’s capital city.</w:t>
      </w:r>
    </w:p>
    <w:p>
      <w:pPr>
        <w:numPr>
          <w:ilvl w:val="0"/>
          <w:numId w:val="1002"/>
        </w:numPr>
        <w:pStyle w:val="Compact"/>
      </w:pPr>
      <w:r>
        <w:rPr>
          <w:bCs/>
          <w:b/>
        </w:rPr>
        <w:t xml:space="preserve">Policy Advocacy:</w:t>
      </w:r>
      <w:r>
        <w:t xml:space="preserve"> </w:t>
      </w:r>
      <w:r>
        <w:t xml:space="preserve">Advocate for revised caseload standards in KL based on the 2023 data, moving towards the recommended 1:20 ratio to ensure Social Workers can provide quality, preventative support – a priority within Malaysia's social welfare strategy.</w:t>
      </w:r>
    </w:p>
    <w:bookmarkEnd w:id="24"/>
    <w:bookmarkStart w:id="25" w:name="vi.-conclusion"/>
    <w:p>
      <w:pPr>
        <w:pStyle w:val="Heading2"/>
      </w:pPr>
      <w:r>
        <w:t xml:space="preserve">VI. Conclusion</w:t>
      </w:r>
    </w:p>
    <w:p>
      <w:pPr>
        <w:pStyle w:val="FirstParagraph"/>
      </w:pPr>
      <w:r>
        <w:t xml:space="preserve">The role of Social Workers in Kuala Lumpur is not merely service delivery; it is fundamental to building a more equitable and resilient Malaysia. This report underscores that while the term "Sales Report" may be misapplied in this context, the data presented represents a vital "Service Impact Report" – measuring the tangible outcomes Social Workers achieve daily for Malaysians across KL's diverse communities. The 14,680+ hours logged by Social Workers in Q3 2023 are not transactions; they are moments of intervention that prevent child exploitation, support elderly independence, and empower marginalized families. Investing in these professionals is investing directly in the social fabric of Kuala Lumpur and the national vision for a compassionate Malaysia. The data demands immediate action: increased resources, better coordination, and strategic urban deployment to ensure Social Workers can effectively serve every community in Kuala Lumpur.</w:t>
      </w:r>
    </w:p>
    <w:bookmarkEnd w:id="25"/>
    <w:bookmarkStart w:id="26" w:name="vii.-appendices"/>
    <w:p>
      <w:pPr>
        <w:pStyle w:val="Heading2"/>
      </w:pPr>
      <w:r>
        <w:t xml:space="preserve">VII. Appendices</w:t>
      </w:r>
    </w:p>
    <w:p>
      <w:pPr>
        <w:pStyle w:val="FirstParagraph"/>
      </w:pPr>
      <w:r>
        <w:rPr>
          <w:iCs/>
          <w:i/>
        </w:rPr>
        <w:t xml:space="preserve">Appendix A: Methodology - Data sourced from 12 accredited social service agencies operating within Kuala Lumpur city limits (July-Sept 2023).</w:t>
      </w:r>
      <w:r>
        <w:br/>
      </w:r>
      <w:r>
        <w:rPr>
          <w:iCs/>
          <w:i/>
        </w:rPr>
        <w:t xml:space="preserve">Appendix B: Glossary of Key Terms in the Malaysian Social Work Context.</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Utilization Report: Kuala Lumpur, Malaysia</dc:title>
  <dc:creator/>
  <dc:language>en</dc:language>
  <cp:keywords/>
  <dcterms:created xsi:type="dcterms:W3CDTF">2026-07-21T03:36:26Z</dcterms:created>
  <dcterms:modified xsi:type="dcterms:W3CDTF">2026-07-21T03:36:26Z</dcterms:modified>
</cp:coreProperties>
</file>

<file path=docProps/custom.xml><?xml version="1.0" encoding="utf-8"?>
<Properties xmlns="http://schemas.openxmlformats.org/officeDocument/2006/custom-properties" xmlns:vt="http://schemas.openxmlformats.org/officeDocument/2006/docPropsVTypes"/>
</file>