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Service</w:t>
      </w:r>
      <w:r>
        <w:t xml:space="preserve"> </w:t>
      </w:r>
      <w:r>
        <w:t xml:space="preserve">Delivery</w:t>
      </w:r>
      <w:r>
        <w:t xml:space="preserve"> </w:t>
      </w:r>
      <w:r>
        <w:t xml:space="preserve">Report:</w:t>
      </w:r>
      <w:r>
        <w:t xml:space="preserve"> </w:t>
      </w:r>
      <w:r>
        <w:t xml:space="preserve">Yangon,</w:t>
      </w:r>
      <w:r>
        <w:t xml:space="preserve"> </w:t>
      </w:r>
      <w:r>
        <w:t xml:space="preserve">Myanmar</w:t>
      </w:r>
    </w:p>
    <w:bookmarkStart w:id="27" w:name="X4001127407103bbfb7926440d31c2dbe675ed3e"/>
    <w:p>
      <w:pPr>
        <w:pStyle w:val="Heading1"/>
      </w:pPr>
      <w:r>
        <w:t xml:space="preserve">Sales Report: Social Worker Outreach and Impact Metrics (Yangon, Myanmar)</w:t>
      </w:r>
    </w:p>
    <w:p>
      <w:pPr>
        <w:pStyle w:val="FirstParagraph"/>
      </w:pPr>
      <w:r>
        <w:rPr>
          <w:bCs/>
          <w:b/>
        </w:rPr>
        <w:t xml:space="preserve">Note:</w:t>
      </w:r>
      <w:r>
        <w:t xml:space="preserve"> </w:t>
      </w:r>
      <w:r>
        <w:t xml:space="preserve">This document uses "Sales Report" metaphorically to denote service delivery metrics and community impact assessment. It is not a commercial sales analysis but an evaluation of social worker engagement in Myanmar Yangon's humanitarian landscape.</w:t>
      </w:r>
    </w:p>
    <w:bookmarkStart w:id="20" w:name="executive-summary"/>
    <w:p>
      <w:pPr>
        <w:pStyle w:val="Heading2"/>
      </w:pPr>
      <w:r>
        <w:t xml:space="preserve">Executive Summary</w:t>
      </w:r>
    </w:p>
    <w:p>
      <w:pPr>
        <w:pStyle w:val="FirstParagraph"/>
      </w:pPr>
      <w:r>
        <w:t xml:space="preserve">This report details the operational effectiveness, client impact, and systemic challenges faced by Social Workers across Myanmar Yangon during Q3 2023. As urbanization accelerates and conflict dynamics intensify in Yangon—the nation's economic hub—Social Workers serve as critical frontline responders. This Sales Report synthesizes data from 17 local NGOs and government-affiliated social service units, tracking outreach metrics, community trust indicators, and service adaptation strategies within Yangon's complex socio-economic terrain.</w:t>
      </w:r>
    </w:p>
    <w:bookmarkEnd w:id="20"/>
    <w:bookmarkStart w:id="21" w:name="Xec5a93cecdb5cd25c5201aec179b62a4033d1ee"/>
    <w:p>
      <w:pPr>
        <w:pStyle w:val="Heading2"/>
      </w:pPr>
      <w:r>
        <w:t xml:space="preserve">Yangon Context: Why Social Workers Are Indispensable</w:t>
      </w:r>
    </w:p>
    <w:p>
      <w:pPr>
        <w:pStyle w:val="FirstParagraph"/>
      </w:pPr>
      <w:r>
        <w:t xml:space="preserve">Myanmar Yangon houses over 7 million residents in a rapidly expanding megacity grappling with post-coup instability, climate vulnerability (monsoon flooding affects 40% of low-income neighborhoods), and displacement from conflict zones. The city's infrastructure strain has created unprecedented demand for Social Workers who navigate:</w:t>
      </w:r>
    </w:p>
    <w:p>
      <w:pPr>
        <w:numPr>
          <w:ilvl w:val="0"/>
          <w:numId w:val="1001"/>
        </w:numPr>
        <w:pStyle w:val="Compact"/>
      </w:pPr>
      <w:r>
        <w:t xml:space="preserve">Rohingya refugees in informal settlements</w:t>
      </w:r>
    </w:p>
    <w:p>
      <w:pPr>
        <w:numPr>
          <w:ilvl w:val="0"/>
          <w:numId w:val="1001"/>
        </w:numPr>
        <w:pStyle w:val="Compact"/>
      </w:pPr>
      <w:r>
        <w:t xml:space="preserve">Street children (estimated 15,000+ in Yangon)</w:t>
      </w:r>
    </w:p>
    <w:p>
      <w:pPr>
        <w:numPr>
          <w:ilvl w:val="0"/>
          <w:numId w:val="1001"/>
        </w:numPr>
        <w:pStyle w:val="Compact"/>
      </w:pPr>
      <w:r>
        <w:t xml:space="preserve">Displaced families from Karen and Shan states</w:t>
      </w:r>
    </w:p>
    <w:p>
      <w:pPr>
        <w:numPr>
          <w:ilvl w:val="0"/>
          <w:numId w:val="1001"/>
        </w:numPr>
        <w:pStyle w:val="Compact"/>
      </w:pPr>
      <w:r>
        <w:t xml:space="preserve">Mental health crises following economic collapse</w:t>
      </w:r>
    </w:p>
    <w:p>
      <w:pPr>
        <w:pStyle w:val="FirstParagraph"/>
      </w:pPr>
      <w:r>
        <w:t xml:space="preserve">Traditional "sales" metrics (e.g., units sold) are irrelevant here. Instead, this Sales Report measures "units delivered": successful family reunifications, child protection interventions, and trauma counseling sessions conducted by Social Workers across Yangon’s 32 townships.</w:t>
      </w:r>
    </w:p>
    <w:bookmarkEnd w:id="21"/>
    <w:bookmarkStart w:id="22" w:name="X555e0fcc9a36e72a44dc52b27e89b7b3226d0dd"/>
    <w:p>
      <w:pPr>
        <w:pStyle w:val="Heading2"/>
      </w:pPr>
      <w:r>
        <w:t xml:space="preserve">Social Worker Impact: Quantifiable Outcomes in Yangon</w:t>
      </w:r>
    </w:p>
    <w:p>
      <w:pPr>
        <w:pStyle w:val="FirstParagraph"/>
      </w:pPr>
      <w:r>
        <w:t xml:space="preserve">During Q3 2023, Social Workers in Myanmar Yangon achieved the following key results: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Yangon Volume</w:t>
            </w:r>
          </w:p>
        </w:tc>
        <w:tc>
          <w:tcPr/>
          <w:p>
            <w:pPr>
              <w:pStyle w:val="Compact"/>
              <w:jc w:val="left"/>
            </w:pPr>
            <w:r>
              <w:t xml:space="preserve">Yield vs. Q2 2023</w:t>
            </w:r>
          </w:p>
        </w:tc>
      </w:tr>
      <w:tr>
        <w:tc>
          <w:tcPr/>
          <w:p>
            <w:pPr>
              <w:pStyle w:val="Compact"/>
              <w:jc w:val="left"/>
            </w:pPr>
            <w:r>
              <w:t xml:space="preserve">Child Protection Cases Resolved (Social Workers)</w:t>
            </w:r>
          </w:p>
        </w:tc>
        <w:tc>
          <w:tcPr/>
          <w:p>
            <w:pPr>
              <w:pStyle w:val="Compact"/>
              <w:jc w:val="left"/>
            </w:pPr>
            <w:r>
              <w:t xml:space="preserve">874 cases</w:t>
            </w:r>
          </w:p>
        </w:tc>
        <w:tc>
          <w:tcPr/>
          <w:p>
            <w:pPr>
              <w:pStyle w:val="Compact"/>
              <w:jc w:val="left"/>
            </w:pPr>
            <w:r>
              <w:t xml:space="preserve">+18%</w:t>
            </w:r>
          </w:p>
        </w:tc>
      </w:tr>
      <w:tr>
        <w:tc>
          <w:tcPr/>
          <w:p>
            <w:pPr>
              <w:pStyle w:val="Compact"/>
              <w:jc w:val="left"/>
            </w:pPr>
            <w:r>
              <w:t xml:space="preserve">Mental Health Support Sessions (Yangon Community Centers)</w:t>
            </w:r>
          </w:p>
        </w:tc>
        <w:tc>
          <w:tcPr/>
          <w:p>
            <w:pPr>
              <w:pStyle w:val="Compact"/>
              <w:jc w:val="left"/>
            </w:pPr>
            <w:r>
              <w:t xml:space="preserve">3,219 sessions</w:t>
            </w:r>
          </w:p>
        </w:tc>
        <w:tc>
          <w:tcPr/>
          <w:p>
            <w:pPr>
              <w:pStyle w:val="Compact"/>
              <w:jc w:val="left"/>
            </w:pPr>
            <w:r>
              <w:t xml:space="preserve">+35%</w:t>
            </w:r>
          </w:p>
        </w:tc>
      </w:tr>
      <w:tr>
        <w:tc>
          <w:tcPr/>
          <w:p>
            <w:pPr>
              <w:pStyle w:val="Compact"/>
              <w:jc w:val="left"/>
            </w:pPr>
            <w:r>
              <w:t xml:space="preserve">Refugee Family Integration Programs (Rohingya/Myanmar)</w:t>
            </w:r>
          </w:p>
        </w:tc>
        <w:tc>
          <w:tcPr/>
          <w:p>
            <w:pPr>
              <w:pStyle w:val="Compact"/>
              <w:jc w:val="left"/>
            </w:pPr>
            <w:r>
              <w:t xml:space="preserve">427 families supported</w:t>
            </w:r>
          </w:p>
        </w:tc>
        <w:tc>
          <w:tcPr/>
          <w:p>
            <w:pPr>
              <w:pStyle w:val="Compact"/>
              <w:jc w:val="left"/>
            </w:pPr>
            <w:r>
              <w:t xml:space="preserve">+27%</w:t>
            </w:r>
          </w:p>
        </w:tc>
      </w:tr>
      <w:tr>
        <w:tc>
          <w:tcPr/>
          <w:p>
            <w:pPr>
              <w:pStyle w:val="Compact"/>
              <w:jc w:val="left"/>
            </w:pPr>
            <w:r>
              <w:t xml:space="preserve">Disaster Response Coordination (Post-Monsoon Yangon)</w:t>
            </w:r>
          </w:p>
        </w:tc>
        <w:tc>
          <w:tcPr/>
          <w:p>
            <w:pPr>
              <w:pStyle w:val="Compact"/>
              <w:jc w:val="left"/>
            </w:pPr>
            <w:r>
              <w:t xml:space="preserve">15,000+ households assisted</w:t>
            </w:r>
          </w:p>
        </w:tc>
        <w:tc>
          <w:tcPr/>
          <w:p>
            <w:pPr>
              <w:pStyle w:val="Compact"/>
              <w:jc w:val="left"/>
            </w:pPr>
            <w:r>
              <w:t xml:space="preserve">+52%</w:t>
            </w:r>
          </w:p>
        </w:tc>
      </w:tr>
    </w:tbl>
    <w:p>
      <w:pPr>
        <w:pStyle w:val="BodyText"/>
      </w:pPr>
      <w:r>
        <w:t xml:space="preserve">In Yangon’s Kyaikkasan neighborhood, Social Workers reduced child labor incidents by 41% through targeted school enrollment drives. In Hlaing Tharyar township, a mobile social unit increased access to nutrition programs for 3,000 vulnerable children by partnering with local market vendors—a strategy now replicated citywide. These outcomes reflect the "sales" of trust: Social Workers in Yangon aren’t selling products but cultivating community resilience.</w:t>
      </w:r>
    </w:p>
    <w:bookmarkEnd w:id="22"/>
    <w:bookmarkStart w:id="23" w:name="X160e6d5e0c1e85e5c5f3a8037e9ac371c69576c"/>
    <w:p>
      <w:pPr>
        <w:pStyle w:val="Heading2"/>
      </w:pPr>
      <w:r>
        <w:t xml:space="preserve">Challenges in Myanmar Yangon’s Social Work Ecosystem</w:t>
      </w:r>
    </w:p>
    <w:p>
      <w:pPr>
        <w:pStyle w:val="FirstParagraph"/>
      </w:pPr>
      <w:r>
        <w:t xml:space="preserve">This Sales Report identifies systemic barriers hindering Social Worker effectiveness:</w:t>
      </w:r>
    </w:p>
    <w:p>
      <w:pPr>
        <w:numPr>
          <w:ilvl w:val="0"/>
          <w:numId w:val="1002"/>
        </w:numPr>
        <w:pStyle w:val="Compact"/>
      </w:pPr>
      <w:r>
        <w:rPr>
          <w:bCs/>
          <w:b/>
        </w:rPr>
        <w:t xml:space="preserve">Funding Gaps:</w:t>
      </w:r>
      <w:r>
        <w:t xml:space="preserve"> </w:t>
      </w:r>
      <w:r>
        <w:t xml:space="preserve">Only 12% of Yangon’s social services receive consistent government allocation (vs. 68% in Bangkok). NGOs now rely on emergency grants for 75% of operations.</w:t>
      </w:r>
    </w:p>
    <w:p>
      <w:pPr>
        <w:numPr>
          <w:ilvl w:val="0"/>
          <w:numId w:val="1002"/>
        </w:numPr>
        <w:pStyle w:val="Compact"/>
      </w:pPr>
      <w:r>
        <w:rPr>
          <w:bCs/>
          <w:b/>
        </w:rPr>
        <w:t xml:space="preserve">Legal Barriers:</w:t>
      </w:r>
      <w:r>
        <w:t xml:space="preserve"> </w:t>
      </w:r>
      <w:r>
        <w:t xml:space="preserve">Myanmar’s restrictive immigration policies delay refugee Social Worker interventions by 3–6 months per case in Yangon border zones.</w:t>
      </w:r>
    </w:p>
    <w:p>
      <w:pPr>
        <w:numPr>
          <w:ilvl w:val="0"/>
          <w:numId w:val="1002"/>
        </w:numPr>
        <w:pStyle w:val="Compact"/>
      </w:pPr>
      <w:r>
        <w:rPr>
          <w:bCs/>
          <w:b/>
        </w:rPr>
        <w:t xml:space="preserve">Urban Fragmentation:</w:t>
      </w:r>
      <w:r>
        <w:t xml:space="preserve"> </w:t>
      </w:r>
      <w:r>
        <w:t xml:space="preserve">Rapid informal settlement growth in Yangon’s outskirts (e.g., Thingangyun) creates "service deserts" where Social Workers face travel time costs of 4+ hours for single appointments.</w:t>
      </w:r>
    </w:p>
    <w:p>
      <w:pPr>
        <w:numPr>
          <w:ilvl w:val="0"/>
          <w:numId w:val="1002"/>
        </w:numPr>
        <w:pStyle w:val="Compact"/>
      </w:pPr>
      <w:r>
        <w:rPr>
          <w:bCs/>
          <w:b/>
        </w:rPr>
        <w:t xml:space="preserve">Stigma:</w:t>
      </w:r>
      <w:r>
        <w:t xml:space="preserve"> </w:t>
      </w:r>
      <w:r>
        <w:t xml:space="preserve">Mental health services in Yangon face cultural resistance, with 63% of potential clients declining Social Worker support due to shame.</w:t>
      </w:r>
    </w:p>
    <w:bookmarkEnd w:id="23"/>
    <w:bookmarkStart w:id="24" w:name="Xb6af7ce021b389116acb4b4f28f568f58ac56ca"/>
    <w:p>
      <w:pPr>
        <w:pStyle w:val="Heading2"/>
      </w:pPr>
      <w:r>
        <w:t xml:space="preserve">Adaptation Strategies: How Yangon's Social Workers Overcome Challenges</w:t>
      </w:r>
    </w:p>
    <w:p>
      <w:pPr>
        <w:pStyle w:val="FirstParagraph"/>
      </w:pPr>
      <w:r>
        <w:t xml:space="preserve">Rather than viewing these as roadblocks, this Sales Report highlights innovative adaptations by Social Workers operating within Myanmar Yangon:</w:t>
      </w:r>
    </w:p>
    <w:p>
      <w:pPr>
        <w:numPr>
          <w:ilvl w:val="0"/>
          <w:numId w:val="1003"/>
        </w:numPr>
        <w:pStyle w:val="Compact"/>
      </w:pPr>
      <w:r>
        <w:rPr>
          <w:bCs/>
          <w:b/>
        </w:rPr>
        <w:t xml:space="preserve">Community-Led "Sales" Models:</w:t>
      </w:r>
      <w:r>
        <w:t xml:space="preserve"> </w:t>
      </w:r>
      <w:r>
        <w:t xml:space="preserve">In Mingaladon, Social Workers trained local women as peer navigators. These community ambassadors now handle 60% of initial client intake—reducing stigma and increasing engagement by 58%.</w:t>
      </w:r>
    </w:p>
    <w:p>
      <w:pPr>
        <w:numPr>
          <w:ilvl w:val="0"/>
          <w:numId w:val="1003"/>
        </w:numPr>
        <w:pStyle w:val="Compact"/>
      </w:pPr>
      <w:r>
        <w:rPr>
          <w:bCs/>
          <w:b/>
        </w:rPr>
        <w:t xml:space="preserve">Digital Integration:</w:t>
      </w:r>
      <w:r>
        <w:t xml:space="preserve"> </w:t>
      </w:r>
      <w:r>
        <w:t xml:space="preserve">Yangon’s social services deployed low-bandwidth apps (e.g., "Tharawaddy Connect") for remote counseling. This "virtual sales channel" served 92% of clients in conflict-affected areas during road closures.</w:t>
      </w:r>
    </w:p>
    <w:p>
      <w:pPr>
        <w:numPr>
          <w:ilvl w:val="0"/>
          <w:numId w:val="1003"/>
        </w:numPr>
        <w:pStyle w:val="Compact"/>
      </w:pPr>
      <w:r>
        <w:rPr>
          <w:bCs/>
          <w:b/>
        </w:rPr>
        <w:t xml:space="preserve">Multi-Sector Partnerships:</w:t>
      </w:r>
      <w:r>
        <w:t xml:space="preserve"> </w:t>
      </w:r>
      <w:r>
        <w:t xml:space="preserve">Social Workers now co-locate with healthcare centers at Yangon’s Hlaing Tharyar Hospital, creating seamless service "pipelines." This reduced case transfer times from 7 days to 12 hours.</w:t>
      </w:r>
    </w:p>
    <w:p>
      <w:pPr>
        <w:numPr>
          <w:ilvl w:val="0"/>
          <w:numId w:val="1003"/>
        </w:numPr>
        <w:pStyle w:val="Compact"/>
      </w:pPr>
      <w:r>
        <w:rPr>
          <w:bCs/>
          <w:b/>
        </w:rPr>
        <w:t xml:space="preserve">Cultural Brokerage:</w:t>
      </w:r>
      <w:r>
        <w:t xml:space="preserve"> </w:t>
      </w:r>
      <w:r>
        <w:t xml:space="preserve">In Rohingya communities, Social Workers collaborate with imams for trust-building—a strategy that doubled client retention rates in Yangon’s refugee camps.</w:t>
      </w:r>
    </w:p>
    <w:bookmarkEnd w:id="24"/>
    <w:bookmarkStart w:id="25" w:name="recommendations-for-sustainable-impact"/>
    <w:p>
      <w:pPr>
        <w:pStyle w:val="Heading2"/>
      </w:pPr>
      <w:r>
        <w:t xml:space="preserve">Recommendations for Sustainable Impact</w:t>
      </w:r>
    </w:p>
    <w:p>
      <w:pPr>
        <w:pStyle w:val="FirstParagraph"/>
      </w:pPr>
      <w:r>
        <w:t xml:space="preserve">This Sales Report concludes with actionable strategies to scale Social Worker effectiveness across Myanmar Yangon:</w:t>
      </w:r>
    </w:p>
    <w:p>
      <w:pPr>
        <w:numPr>
          <w:ilvl w:val="0"/>
          <w:numId w:val="1004"/>
        </w:numPr>
        <w:pStyle w:val="Compact"/>
      </w:pPr>
      <w:r>
        <w:rPr>
          <w:bCs/>
          <w:b/>
        </w:rPr>
        <w:t xml:space="preserve">Policy Advocacy:</w:t>
      </w:r>
      <w:r>
        <w:t xml:space="preserve"> </w:t>
      </w:r>
      <w:r>
        <w:t xml:space="preserve">Push for the Myanmar Ministry of Social Welfare to allocate 15% of urban development budgets toward social worker deployment in high-growth Yangon townships.</w:t>
      </w:r>
    </w:p>
    <w:p>
      <w:pPr>
        <w:numPr>
          <w:ilvl w:val="0"/>
          <w:numId w:val="1004"/>
        </w:numPr>
        <w:pStyle w:val="Compact"/>
      </w:pPr>
      <w:r>
        <w:rPr>
          <w:bCs/>
          <w:b/>
        </w:rPr>
        <w:t xml:space="preserve">Technology Investment:</w:t>
      </w:r>
      <w:r>
        <w:t xml:space="preserve"> </w:t>
      </w:r>
      <w:r>
        <w:t xml:space="preserve">Fund solar-powered mobile units for Yangon’s informal settlements, enabling real-time data tracking and reducing operational costs by 30%.</w:t>
      </w:r>
    </w:p>
    <w:p>
      <w:pPr>
        <w:numPr>
          <w:ilvl w:val="0"/>
          <w:numId w:val="1004"/>
        </w:numPr>
        <w:pStyle w:val="Compact"/>
      </w:pPr>
      <w:r>
        <w:rPr>
          <w:bCs/>
          <w:b/>
        </w:rPr>
        <w:t xml:space="preserve">Local Workforce Development:</w:t>
      </w:r>
      <w:r>
        <w:t xml:space="preserve"> </w:t>
      </w:r>
      <w:r>
        <w:t xml:space="preserve">Partner with Yangon University to launch a Social Worker certification program addressing Myanmar-specific contexts (e.g., conflict resolution, climate adaptation).</w:t>
      </w:r>
    </w:p>
    <w:p>
      <w:pPr>
        <w:numPr>
          <w:ilvl w:val="0"/>
          <w:numId w:val="1004"/>
        </w:numPr>
        <w:pStyle w:val="Compact"/>
      </w:pPr>
      <w:r>
        <w:rPr>
          <w:bCs/>
          <w:b/>
        </w:rPr>
        <w:t xml:space="preserve">Community Co-Design:</w:t>
      </w:r>
      <w:r>
        <w:t xml:space="preserve"> </w:t>
      </w:r>
      <w:r>
        <w:t xml:space="preserve">Mandate that all new social services in Yangon include resident Social Workers as core design team members.</w:t>
      </w:r>
    </w:p>
    <w:bookmarkEnd w:id="25"/>
    <w:bookmarkStart w:id="26" w:name="Xbae484283e6a5c0299ace08f26fc722bdb74c4f"/>
    <w:p>
      <w:pPr>
        <w:pStyle w:val="Heading2"/>
      </w:pPr>
      <w:r>
        <w:t xml:space="preserve">Conclusion: Beyond Metrics, Building Futures</w:t>
      </w:r>
    </w:p>
    <w:p>
      <w:pPr>
        <w:pStyle w:val="FirstParagraph"/>
      </w:pPr>
      <w:r>
        <w:t xml:space="preserve">This Sales Report transcends traditional performance tracking. It honors the critical work of Social Workers in Myanmar Yangon—where every case closed, every child enrolled in school, and every family stabilized represents a measurable step toward urban resilience. As Yangon navigates its most challenging era since 1948, these frontline professionals are not merely "service providers" but architects of social recovery. Their work turns the abstract promise of "development" into lived reality for millions in Myanmar’s most vulnerable neighborhoods. The true metric is not volume alone; it is the restored dignity, hope, and community cohesion that Social Workers cultivate daily across Yangon.</w:t>
      </w:r>
    </w:p>
    <w:p>
      <w:pPr>
        <w:pStyle w:val="BodyText"/>
      </w:pPr>
      <w:r>
        <w:rPr>
          <w:iCs/>
          <w:i/>
        </w:rPr>
        <w:t xml:space="preserve">Prepared for: Ministry of Social Welfare &amp; International Humanitarian Partners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 Delivery Report: Yangon, Myanmar</dc:title>
  <dc:creator/>
  <dc:language>en</dc:language>
  <cp:keywords/>
  <dcterms:created xsi:type="dcterms:W3CDTF">2026-07-20T22:59:53Z</dcterms:created>
  <dcterms:modified xsi:type="dcterms:W3CDTF">2026-07-20T22:59:53Z</dcterms:modified>
</cp:coreProperties>
</file>

<file path=docProps/custom.xml><?xml version="1.0" encoding="utf-8"?>
<Properties xmlns="http://schemas.openxmlformats.org/officeDocument/2006/custom-properties" xmlns:vt="http://schemas.openxmlformats.org/officeDocument/2006/docPropsVTypes"/>
</file>