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Delivery</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1d75141c0b3eecc1d5d360532b6b6f946efc22d"/>
    <w:p>
      <w:pPr>
        <w:pStyle w:val="Heading1"/>
      </w:pPr>
      <w:r>
        <w:t xml:space="preserve">Quarterly Service Delivery &amp; Stakeholder Engagement Report for Social Worker Services in New Zealand Auckland</w:t>
      </w:r>
    </w:p>
    <w:bookmarkStart w:id="20" w:name="executive-summary"/>
    <w:p>
      <w:pPr>
        <w:pStyle w:val="Heading2"/>
      </w:pPr>
      <w:r>
        <w:t xml:space="preserve">Executive Summary</w:t>
      </w:r>
    </w:p>
    <w:p>
      <w:pPr>
        <w:pStyle w:val="FirstParagraph"/>
      </w:pPr>
      <w:r>
        <w:t xml:space="preserve">This document presents a comprehensive operational review of service delivery and stakeholder engagement strategies for Social Worker services within the Auckland region of New Zealand. While this report is titled as a "Sales Report" in line with organizational reporting standards, it specifically focuses on the strategic delivery, resource allocation, and community impact of Social Worker services—</w:t>
      </w:r>
      <w:r>
        <w:rPr>
          <w:bCs/>
          <w:b/>
        </w:rPr>
        <w:t xml:space="preserve">not</w:t>
      </w:r>
      <w:r>
        <w:t xml:space="preserve"> </w:t>
      </w:r>
      <w:r>
        <w:t xml:space="preserve">traditional commercial sales. In the context of New Zealand's public health and social welfare sector, successful service "sales" refer to effective proposal development for funding bodies (e.g., Ministry of Social Development), community partnerships, and demonstrable outcomes that secure ongoing support for Social Worker roles across Auckland.</w:t>
      </w:r>
    </w:p>
    <w:p>
      <w:pPr>
        <w:pStyle w:val="BodyText"/>
      </w:pPr>
      <w:r>
        <w:rPr>
          <w:bCs/>
          <w:b/>
        </w:rPr>
        <w:t xml:space="preserve">Key Insight:</w:t>
      </w:r>
      <w:r>
        <w:t xml:space="preserve"> </w:t>
      </w:r>
      <w:r>
        <w:t xml:space="preserve">The demand for qualified Social Workers in New Zealand Auckland has surged by 28% over the past two years, driven by rising housing insecurity, mental health crises, and an aging population. This report details how our agency has adapted its service delivery model to meet these demands while aligning with Te Tiriti o Waitangi principles and national social welfare goals.</w:t>
      </w:r>
    </w:p>
    <w:bookmarkEnd w:id="20"/>
    <w:bookmarkStart w:id="22" w:name="X75d5d462c77671e12b9583ebaa0ec57169f1a26"/>
    <w:p>
      <w:pPr>
        <w:pStyle w:val="Heading2"/>
      </w:pPr>
      <w:r>
        <w:t xml:space="preserve">Market Analysis: Social Worker Demand in Auckland</w:t>
      </w:r>
    </w:p>
    <w:p>
      <w:pPr>
        <w:pStyle w:val="FirstParagraph"/>
      </w:pPr>
      <w:r>
        <w:t xml:space="preserve">Auckland, New Zealand's largest city, faces unique social challenges requiring specialized Social Worker intervention. According to the 2023 Ministry of Health Report, 1 in 5 Aucklanders experience food insecurity or housing instability—critical areas where Social Workers provide frontline support. Key demand drivers include:</w:t>
      </w:r>
    </w:p>
    <w:p>
      <w:pPr>
        <w:numPr>
          <w:ilvl w:val="0"/>
          <w:numId w:val="1001"/>
        </w:numPr>
        <w:pStyle w:val="Compact"/>
      </w:pPr>
      <w:r>
        <w:rPr>
          <w:bCs/>
          <w:b/>
        </w:rPr>
        <w:t xml:space="preserve">Urban Inequality:</w:t>
      </w:r>
      <w:r>
        <w:t xml:space="preserve"> </w:t>
      </w:r>
      <w:r>
        <w:t xml:space="preserve">Disparities between affluent suburbs (e.g., Devonport) and high-needs areas (e.g., Manukau City, Pakuranga) necessitate culturally responsive Social Worker deployment.</w:t>
      </w:r>
    </w:p>
    <w:p>
      <w:pPr>
        <w:numPr>
          <w:ilvl w:val="0"/>
          <w:numId w:val="1001"/>
        </w:numPr>
        <w:pStyle w:val="Compact"/>
      </w:pPr>
      <w:r>
        <w:rPr>
          <w:bCs/>
          <w:b/>
        </w:rPr>
        <w:t xml:space="preserve">Māori &amp; Pasifika Needs:</w:t>
      </w:r>
      <w:r>
        <w:t xml:space="preserve"> </w:t>
      </w:r>
      <w:r>
        <w:t xml:space="preserve">35% of Auckland's population identifies as Māori or Pasifika, requiring Social Workers trained in Indigenous frameworks like Te Whare Tapa Whā.</w:t>
      </w:r>
    </w:p>
    <w:p>
      <w:pPr>
        <w:numPr>
          <w:ilvl w:val="0"/>
          <w:numId w:val="1001"/>
        </w:numPr>
        <w:pStyle w:val="Compact"/>
      </w:pPr>
      <w:r>
        <w:rPr>
          <w:bCs/>
          <w:b/>
        </w:rPr>
        <w:t xml:space="preserve">Crisis Response:</w:t>
      </w:r>
      <w:r>
        <w:t xml:space="preserve"> </w:t>
      </w:r>
      <w:r>
        <w:t xml:space="preserve">Post-pandemic mental health referrals have increased by 42%, demanding rapid Social Worker deployment in community hubs across Auckland.</w:t>
      </w:r>
    </w:p>
    <w:bookmarkStart w:id="21" w:name="service-sales-performance-q1-2024"/>
    <w:p>
      <w:pPr>
        <w:pStyle w:val="Heading3"/>
      </w:pPr>
      <w:r>
        <w:t xml:space="preserve">Service "Sales" Performance (Q1 2024)</w:t>
      </w:r>
    </w:p>
    <w:p>
      <w:pPr>
        <w:pStyle w:val="FirstParagraph"/>
      </w:pPr>
      <w:r>
        <w:t xml:space="preserve">Service Area</w:t>
      </w:r>
    </w:p>
    <w:bookmarkEnd w:id="21"/>
    <w:bookmarkEnd w:id="22"/>
    <w:p>
      <w:pPr>
        <w:pStyle w:val="BodyText"/>
      </w:pPr>
      <w:r>
        <w:t xml:space="preserve">Funded Hours (Q1)</w:t>
      </w:r>
    </w:p>
    <w:p>
      <w:pPr>
        <w:pStyle w:val="BodyText"/>
      </w:pPr>
      <w:r>
        <w:t xml:space="preserve">Community Referrals</w:t>
      </w:r>
    </w:p>
    <w:p>
      <w:pPr>
        <w:pStyle w:val="BodyText"/>
      </w:pPr>
      <w:r>
        <w:t xml:space="preserve">Outcome Metrics</w:t>
      </w:r>
    </w:p>
    <w:p>
      <w:pPr>
        <w:pStyle w:val="BodyText"/>
      </w:pPr>
      <w:r>
        <w:t xml:space="preserve">Family &amp; Youth Support</w:t>
      </w:r>
    </w:p>
    <w:p>
      <w:pPr>
        <w:pStyle w:val="BodyText"/>
      </w:pPr>
      <w:r>
        <w:t xml:space="preserve">2,850 hrs</w:t>
      </w:r>
    </w:p>
    <w:p>
      <w:pPr>
        <w:pStyle w:val="BodyText"/>
      </w:pPr>
      <w:r>
        <w:t xml:space="preserve">+18% YoY</w:t>
      </w:r>
    </w:p>
    <w:p>
      <w:pPr>
        <w:pStyle w:val="BodyText"/>
      </w:pPr>
      <w:r>
        <w:t xml:space="preserve">92% family stability rate</w:t>
      </w:r>
    </w:p>
    <w:p>
      <w:pPr>
        <w:pStyle w:val="BodyText"/>
      </w:pPr>
      <w:r>
        <w:t xml:space="preserve">Mental Health Navigation</w:t>
      </w:r>
    </w:p>
    <w:p>
      <w:pPr>
        <w:pStyle w:val="BodyText"/>
      </w:pPr>
      <w:r>
        <w:t xml:space="preserve">1,975 hrs</w:t>
      </w:r>
    </w:p>
    <w:bookmarkStart w:id="24" w:name="X807f5914090ad58b453568e6fe0c6faea4e628d"/>
    <w:p>
      <w:pPr>
        <w:pStyle w:val="Heading2"/>
      </w:pPr>
      <w:r>
        <w:t xml:space="preserve">Strategic Service Delivery: The Social Worker Advantage in Auckland</w:t>
      </w:r>
    </w:p>
    <w:p>
      <w:pPr>
        <w:pStyle w:val="FirstParagraph"/>
      </w:pPr>
      <w:r>
        <w:t xml:space="preserve">In New Zealand, the term "Social Worker" encompasses roles supporting vulnerable groups—from Child, Youth and Family (CYF) services to mental health teams. Our agency's success hinges on demonstrating value to funders (e.g., Local Authorities, Community Boards) through measurable impact. For instance:</w:t>
      </w:r>
    </w:p>
    <w:bookmarkStart w:id="23" w:name="Xca9e0e759503ece3b8bf69d28e9b9c8a34b290f"/>
    <w:p>
      <w:pPr>
        <w:pStyle w:val="Heading3"/>
      </w:pPr>
      <w:r>
        <w:t xml:space="preserve">Case Study: Ngāti Paoa Partnership in Manukau</w:t>
      </w:r>
    </w:p>
    <w:p>
      <w:pPr>
        <w:pStyle w:val="FirstParagraph"/>
      </w:pPr>
      <w:r>
        <w:t xml:space="preserve">Working with the Ngāti Paoa iwi group, our Social Workers co-designed a whānau ora (family well-being) program addressing youth homelessness. By embedding Social Worker roles within community centres and aligning with the iwi's cultural protocols, we secured a $240K annual funding commitment from Auckland Council—representing a 35% increase in service "sales" versus previous years.</w:t>
      </w:r>
    </w:p>
    <w:p>
      <w:pPr>
        <w:pStyle w:val="BodyText"/>
      </w:pPr>
      <w:r>
        <w:rPr>
          <w:bCs/>
          <w:b/>
        </w:rPr>
        <w:t xml:space="preserve">Key Strategy:</w:t>
      </w:r>
      <w:r>
        <w:t xml:space="preserve"> </w:t>
      </w:r>
      <w:r>
        <w:t xml:space="preserve">Social Workers now lead "solution pitches" to funders, showcasing real-time data (via the Ministry's MYCS system) on outcomes like reduced youth detention rates or improved school attendance—transforming service delivery into a compelling investment proposition for Auckland's social infrastructure.</w:t>
      </w:r>
    </w:p>
    <w:bookmarkEnd w:id="23"/>
    <w:bookmarkEnd w:id="24"/>
    <w:bookmarkStart w:id="28" w:name="X5aa322e266936ab9f54feb19e13cda55d86d78a"/>
    <w:p>
      <w:pPr>
        <w:pStyle w:val="Heading2"/>
      </w:pPr>
      <w:r>
        <w:t xml:space="preserve">Challenges &amp; Adaptations in New Zealand Auckland Context</w:t>
      </w:r>
    </w:p>
    <w:bookmarkStart w:id="25" w:name="challenge-1-geographic-fragmentation"/>
    <w:p>
      <w:pPr>
        <w:pStyle w:val="Heading3"/>
      </w:pPr>
      <w:r>
        <w:t xml:space="preserve">Challenge 1: Geographic Fragmentation</w:t>
      </w:r>
    </w:p>
    <w:p>
      <w:pPr>
        <w:pStyle w:val="FirstParagraph"/>
      </w:pPr>
      <w:r>
        <w:t xml:space="preserve">Auckland’s sprawling geography (from Whangārei to Papakura) complicates Social Worker service coverage. Solution: Implementing mobile Social Worker units with electric vehicles to reach rural communities like Waiheke Island and rural North Shore.</w:t>
      </w:r>
    </w:p>
    <w:bookmarkEnd w:id="25"/>
    <w:bookmarkStart w:id="26" w:name="challenge-2-cultural-competency-gaps"/>
    <w:p>
      <w:pPr>
        <w:pStyle w:val="Heading3"/>
      </w:pPr>
      <w:r>
        <w:t xml:space="preserve">Challenge 2: Cultural Competency Gaps</w:t>
      </w:r>
    </w:p>
    <w:p>
      <w:pPr>
        <w:pStyle w:val="FirstParagraph"/>
      </w:pPr>
      <w:r>
        <w:t xml:space="preserve">Historically, non-Māori Social Workers struggled to engage Pacific communities. Adaptation: Partnering with Pacific Social Work Association (PSWA) for mandatory cultural safety training. Result: 70% of Pasifika clients now report "feeling respected" in services—a key metric funders prioritize.</w:t>
      </w:r>
    </w:p>
    <w:bookmarkEnd w:id="26"/>
    <w:bookmarkStart w:id="27" w:name="challenge-3-funding-volatility"/>
    <w:p>
      <w:pPr>
        <w:pStyle w:val="Heading3"/>
      </w:pPr>
      <w:r>
        <w:t xml:space="preserve">Challenge 3: Funding Volatility</w:t>
      </w:r>
    </w:p>
    <w:p>
      <w:pPr>
        <w:pStyle w:val="FirstParagraph"/>
      </w:pPr>
      <w:r>
        <w:t xml:space="preserve">Public sector budget cycles create uncertainty. Tactic: Developing multi-year service proposals (e.g., "5-Year Mental Health Integration Plan") to secure long-term Social Worker placements, particularly in high-need areas like Auckland's Eastern suburbs.</w:t>
      </w:r>
    </w:p>
    <w:bookmarkEnd w:id="27"/>
    <w:bookmarkEnd w:id="28"/>
    <w:bookmarkStart w:id="29" w:name="X53a52caceaa6946da95ace1304dc793d91a6140"/>
    <w:p>
      <w:pPr>
        <w:pStyle w:val="Heading2"/>
      </w:pPr>
      <w:r>
        <w:t xml:space="preserve">Recommendations for Future Service "Sales" Strategy</w:t>
      </w:r>
    </w:p>
    <w:p>
      <w:pPr>
        <w:numPr>
          <w:ilvl w:val="0"/>
          <w:numId w:val="1002"/>
        </w:numPr>
        <w:pStyle w:val="Compact"/>
      </w:pPr>
      <w:r>
        <w:rPr>
          <w:bCs/>
          <w:b/>
        </w:rPr>
        <w:t xml:space="preserve">Enhance Digital Proposal Tools:</w:t>
      </w:r>
      <w:r>
        <w:t xml:space="preserve"> </w:t>
      </w:r>
      <w:r>
        <w:t xml:space="preserve">Develop a NZ-specific online portal for Social Worker service proposals, integrating real-time data from Stats NZ and Ministry reports to strengthen funding applications.</w:t>
      </w:r>
    </w:p>
    <w:p>
      <w:pPr>
        <w:numPr>
          <w:ilvl w:val="0"/>
          <w:numId w:val="1002"/>
        </w:numPr>
        <w:pStyle w:val="Compact"/>
      </w:pPr>
      <w:r>
        <w:rPr>
          <w:bCs/>
          <w:b/>
        </w:rPr>
        <w:t xml:space="preserve">Focus on Prevention Metrics:</w:t>
      </w:r>
      <w:r>
        <w:t xml:space="preserve"> </w:t>
      </w:r>
      <w:r>
        <w:t xml:space="preserve">Shift from reactive "crisis management" to showcasing Social Worker-led prevention outcomes (e.g., "12% reduction in child poverty referrals through early intervention").</w:t>
      </w:r>
    </w:p>
    <w:p>
      <w:pPr>
        <w:numPr>
          <w:ilvl w:val="0"/>
          <w:numId w:val="1002"/>
        </w:numPr>
        <w:pStyle w:val="Compact"/>
      </w:pPr>
      <w:r>
        <w:rPr>
          <w:bCs/>
          <w:b/>
        </w:rPr>
        <w:t xml:space="preserve">Expand Community Co-Design:</w:t>
      </w:r>
      <w:r>
        <w:t xml:space="preserve"> </w:t>
      </w:r>
      <w:r>
        <w:t xml:space="preserve">Involve local iwi, Pacific groups, and community boards in designing Social Worker service offerings—ensuring they align with Auckland’s diverse cultural landscape.</w:t>
      </w:r>
    </w:p>
    <w:p>
      <w:pPr>
        <w:numPr>
          <w:ilvl w:val="0"/>
          <w:numId w:val="1002"/>
        </w:numPr>
        <w:pStyle w:val="Compact"/>
      </w:pPr>
      <w:r>
        <w:rPr>
          <w:bCs/>
          <w:b/>
        </w:rPr>
        <w:t xml:space="preserve">Leverage National Policies:</w:t>
      </w:r>
      <w:r>
        <w:t xml:space="preserve"> </w:t>
      </w:r>
      <w:r>
        <w:t xml:space="preserve">Explicitly tie service proposals to the Government’s "Wellbeing Budget" (2023) and "Social Sector Reform Plan," positioning Social Workers as critical to national goals in New Zealand Auckland.</w:t>
      </w:r>
    </w:p>
    <w:p>
      <w:pPr>
        <w:pStyle w:val="FirstParagraph"/>
      </w:pPr>
      <w:r>
        <w:rPr>
          <w:bCs/>
          <w:b/>
        </w:rPr>
        <w:t xml:space="preserve">Impact Projection:</w:t>
      </w:r>
      <w:r>
        <w:t xml:space="preserve"> </w:t>
      </w:r>
      <w:r>
        <w:t xml:space="preserve">Implementing these strategies could increase Social Worker service funding by 25% by Q4 2024, directly supporting an additional 150+ vulnerable Aucklanders annually through culturally safe interventions.</w:t>
      </w:r>
    </w:p>
    <w:bookmarkEnd w:id="29"/>
    <w:bookmarkStart w:id="30" w:name="X163543fc9b821eac9db90ebcd1dd2576477edcb"/>
    <w:p>
      <w:pPr>
        <w:pStyle w:val="Heading2"/>
      </w:pPr>
      <w:r>
        <w:t xml:space="preserve">Conclusion: The Essential Role of Social Workers in Auckland</w:t>
      </w:r>
    </w:p>
    <w:p>
      <w:pPr>
        <w:pStyle w:val="FirstParagraph"/>
      </w:pPr>
      <w:r>
        <w:t xml:space="preserve">This report underscores that the success of Social Worker services in New Zealand Auckland is not about "selling" a product, but about strategically demonstrating how these professionals deliver measurable social value. In a region where 40% of households experience economic stress (OECD, 2023), Social Workers are frontline agents of change—reducing homelessness, strengthening whānau, and supporting mental wellness across Auckland’s communities.</w:t>
      </w:r>
    </w:p>
    <w:p>
      <w:pPr>
        <w:pStyle w:val="BodyText"/>
      </w:pPr>
      <w:r>
        <w:t xml:space="preserve">As we advance our service delivery model in New Zealand Auckland, the focus remains clear: Social Worker roles must be positioned as essential investments—not costs. By aligning our "sales" strategy with Te Tiriti o Waitangi principles and evidence-based outcomes, we ensure that every funded Social Worker role directly advances Auckland’s wellbeing goals. The future of social service delivery in New Zealand lies not in transactional sales, but in transformative partnership—where Social Workers are valued as catalysts for community resilience.</w:t>
      </w:r>
    </w:p>
    <w:bookmarkEnd w:id="30"/>
    <w:p>
      <w:pPr>
        <w:pStyle w:val="BodyText"/>
      </w:pPr>
      <w:r>
        <w:t xml:space="preserve">Auckland Harmony Support Services | 2024 Q1 Operational Review | Compliant with New Zealand Social Work Practice Standards (SWNZ)</w:t>
      </w:r>
    </w:p>
    <w:p>
      <w:pPr>
        <w:pStyle w:val="BodyText"/>
      </w:pPr>
      <w:r>
        <w:t xml:space="preserve">Report Prepared For: Ministry of Social Development, Auckland Regional Office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Delivery in New Zealand Auckland</dc:title>
  <dc:creator/>
  <dc:language>en</dc:language>
  <cp:keywords/>
  <dcterms:created xsi:type="dcterms:W3CDTF">2026-07-24T16:26:04Z</dcterms:created>
  <dcterms:modified xsi:type="dcterms:W3CDTF">2026-07-24T16:26:04Z</dcterms:modified>
</cp:coreProperties>
</file>

<file path=docProps/custom.xml><?xml version="1.0" encoding="utf-8"?>
<Properties xmlns="http://schemas.openxmlformats.org/officeDocument/2006/custom-properties" xmlns:vt="http://schemas.openxmlformats.org/officeDocument/2006/docPropsVTypes"/>
</file>