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27" w:name="Xca2a2520ca6222aaccdc46fdfd2121804a17727"/>
    <w:p>
      <w:pPr>
        <w:pStyle w:val="Heading1"/>
      </w:pPr>
      <w:r>
        <w:t xml:space="preserve">Comprehensive Service Delivery Report: Social Worker Performance &amp; Community Impact in Wellington, New Zealand</w:t>
      </w:r>
    </w:p>
    <w:p>
      <w:pPr>
        <w:pStyle w:val="FirstParagraph"/>
      </w:pPr>
      <w:r>
        <w:rPr>
          <w:bCs/>
          <w:b/>
        </w:rPr>
        <w:t xml:space="preserve">Prepared For:</w:t>
      </w:r>
      <w:r>
        <w:t xml:space="preserve"> </w:t>
      </w:r>
      <w:r>
        <w:t xml:space="preserve">Oranga Tamariki - Ministry for Children (Wellington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Wellington Regional Social Work Leadership Team</w:t>
      </w:r>
    </w:p>
    <w:bookmarkStart w:id="20" w:name="executive-summary"/>
    <w:p>
      <w:pPr>
        <w:pStyle w:val="Heading2"/>
      </w:pPr>
      <w:r>
        <w:t xml:space="preserve">Executive Summary</w:t>
      </w:r>
    </w:p>
    <w:p>
      <w:pPr>
        <w:pStyle w:val="FirstParagraph"/>
      </w:pPr>
      <w:r>
        <w:t xml:space="preserve">This report details the service delivery outcomes and strategic performance metrics of Social Workers operating within the vibrant urban landscape of New Zealand Wellington. Unlike commercial sales reports, this document quantifies community impact, client well-being outcomes, and service efficiency – core to our social work mandate. Throughout this period, Wellington-based Social Workers successfully supported 1,247 vulnerable individuals and families across six key service streams (child protection, family violence intervention, youth mental health support, disability advocacy). The report demonstrates how our team's dedicated efforts directly align with Te Tiriti o Waitangi principles and the unique social context of Wellington City.</w:t>
      </w:r>
    </w:p>
    <w:bookmarkEnd w:id="20"/>
    <w:bookmarkStart w:id="21" w:name="X7cb3a2419bd46a62896498eece41ce80c865095"/>
    <w:p>
      <w:pPr>
        <w:pStyle w:val="Heading2"/>
      </w:pPr>
      <w:r>
        <w:t xml:space="preserve">Wellington-Specific Service Performance Metrics</w:t>
      </w:r>
    </w:p>
    <w:p>
      <w:pPr>
        <w:pStyle w:val="FirstParagraph"/>
      </w:pPr>
      <w:r>
        <w:t xml:space="preserve">The Social Worker role in New Zealand Wellington operates within a complex socio-geographical environment characterised by significant urban diversity, high rates of youth homelessness (particularly impacting Māori and Pacific Islander communities), and a concentration of tertiary institutions. Our team’s performance was measured against locally relevant KPIs:</w:t>
      </w:r>
    </w:p>
    <w:p>
      <w:pPr>
        <w:pStyle w:val="BodyText"/>
      </w:pPr>
      <w:r>
        <w:t xml:space="preserve">Service Area</w:t>
      </w:r>
    </w:p>
    <w:p>
      <w:pPr>
        <w:pStyle w:val="BodyText"/>
      </w:pPr>
      <w:r>
        <w:t xml:space="preserve">Target (Q3)</w:t>
      </w:r>
    </w:p>
    <w:p>
      <w:pPr>
        <w:pStyle w:val="BodyText"/>
      </w:pPr>
      <w:r>
        <w:t xml:space="preserve">Actual (Q3)</w:t>
      </w:r>
    </w:p>
    <w:p>
      <w:pPr>
        <w:pStyle w:val="BodyText"/>
      </w:pPr>
      <w:r>
        <w:t xml:space="preserve">% Achievement</w:t>
      </w:r>
    </w:p>
    <w:p>
      <w:pPr>
        <w:pStyle w:val="BodyText"/>
      </w:pPr>
      <w:r>
        <w:t xml:space="preserve">Child Safety Interventions (Oranga Tamariki cases)</w:t>
      </w:r>
    </w:p>
    <w:p>
      <w:pPr>
        <w:pStyle w:val="BodyText"/>
      </w:pPr>
      <w:r>
        <w:t xml:space="preserve">450</w:t>
      </w:r>
    </w:p>
    <w:p>
      <w:pPr>
        <w:pStyle w:val="BodyText"/>
      </w:pPr>
      <w:r>
        <w:t xml:space="preserve">482</w:t>
      </w:r>
    </w:p>
    <w:p>
      <w:pPr>
        <w:pStyle w:val="BodyText"/>
      </w:pPr>
      <w:r>
        <w:t xml:space="preserve">107%</w:t>
      </w:r>
    </w:p>
    <w:p>
      <w:pPr>
        <w:pStyle w:val="BodyText"/>
      </w:pPr>
      <w:r>
        <w:t xml:space="preserve">Youth Mental Health Support Referrals</w:t>
      </w:r>
    </w:p>
    <w:p>
      <w:pPr>
        <w:pStyle w:val="BodyText"/>
      </w:pPr>
      <w:r>
        <w:t xml:space="preserve">&lt;</w:t>
      </w:r>
    </w:p>
    <w:p>
      <w:pPr>
        <w:pStyle w:val="BodyText"/>
      </w:pPr>
      <w:r>
        <w:t xml:space="preserve">210</w:t>
      </w:r>
    </w:p>
    <w:p>
      <w:pPr>
        <w:pStyle w:val="BodyText"/>
      </w:pPr>
      <w:r>
        <w:t xml:space="preserve">237</w:t>
      </w:r>
    </w:p>
    <w:p>
      <w:pPr>
        <w:pStyle w:val="BodyText"/>
      </w:pPr>
      <w:r>
        <w:t xml:space="preserve">Family Violence Risk Assessment Completion Rate</w:t>
      </w:r>
    </w:p>
    <w:p>
      <w:pPr>
        <w:pStyle w:val="BodyText"/>
      </w:pPr>
      <w:r>
        <w:t xml:space="preserve">Wellington Region Average (National Benchmark)</w:t>
      </w:r>
    </w:p>
    <w:p>
      <w:pPr>
        <w:pStyle w:val="BodyText"/>
      </w:pPr>
      <w:r>
        <w:t xml:space="preserve">85%</w:t>
      </w:r>
    </w:p>
    <w:p>
      <w:pPr>
        <w:pStyle w:val="BodyText"/>
      </w:pPr>
      <w:r>
        <w:t xml:space="preserve">92%</w:t>
      </w:r>
    </w:p>
    <w:bookmarkEnd w:id="21"/>
    <w:bookmarkStart w:id="22" w:name="X4f28f86c93a906330f874a1aa9298b1233e62d7"/>
    <w:p>
      <w:pPr>
        <w:pStyle w:val="Heading2"/>
      </w:pPr>
      <w:r>
        <w:t xml:space="preserve">Key Social Work Achievements in Wellington</w:t>
      </w:r>
    </w:p>
    <w:p>
      <w:pPr>
        <w:pStyle w:val="FirstParagraph"/>
      </w:pPr>
      <w:r>
        <w:t xml:space="preserve">The performance of Social Workers across New Zealand Wellington is measured through meaningful client outcomes, not sales figures. This quarter's achievements include:</w:t>
      </w:r>
    </w:p>
    <w:p>
      <w:pPr>
        <w:numPr>
          <w:ilvl w:val="0"/>
          <w:numId w:val="1001"/>
        </w:numPr>
        <w:pStyle w:val="Compact"/>
      </w:pPr>
      <w:r>
        <w:rPr>
          <w:bCs/>
          <w:b/>
        </w:rPr>
        <w:t xml:space="preserve">Reduced Wait Times for Youth Services:</w:t>
      </w:r>
      <w:r>
        <w:t xml:space="preserve"> </w:t>
      </w:r>
      <w:r>
        <w:t xml:space="preserve">Implemented a streamlined referral pathway with Te Pū Titoki (Wellington Māori Health Service), decreasing initial assessment wait times from 28 days to 14 days for rangatahi (youth) in the Wellington CBD.</w:t>
      </w:r>
    </w:p>
    <w:p>
      <w:pPr>
        <w:numPr>
          <w:ilvl w:val="0"/>
          <w:numId w:val="1001"/>
        </w:numPr>
        <w:pStyle w:val="Compact"/>
      </w:pPr>
      <w:r>
        <w:rPr>
          <w:bCs/>
          <w:b/>
        </w:rPr>
        <w:t xml:space="preserve">Community Partnership Expansion:</w:t>
      </w:r>
      <w:r>
        <w:t xml:space="preserve"> </w:t>
      </w:r>
      <w:r>
        <w:t xml:space="preserve">Social Workers forged critical new agreements with local agencies including The Salvation Army Wellington, Te Whare o Rangi (Māori Family Services), and the Wellington City Council's Housing Assistance Programme. These collaborations directly supported 312 families securing stable accommodation during Q3.</w:t>
      </w:r>
    </w:p>
    <w:p>
      <w:pPr>
        <w:numPr>
          <w:ilvl w:val="0"/>
          <w:numId w:val="1001"/>
        </w:numPr>
        <w:pStyle w:val="Compact"/>
      </w:pPr>
      <w:r>
        <w:rPr>
          <w:bCs/>
          <w:b/>
        </w:rPr>
        <w:t xml:space="preserve">Focus on Whānau Ora Principles:</w:t>
      </w:r>
      <w:r>
        <w:t xml:space="preserve"> </w:t>
      </w:r>
      <w:r>
        <w:t xml:space="preserve">All Social Workers in Wellington incorporated Māori cultural safety frameworks into practice, resulting in a 22% increase in positive engagement rates with kaumātua (elders) and whānau (families) from Māori and Pacific communities compared to Q2.</w:t>
      </w:r>
    </w:p>
    <w:p>
      <w:pPr>
        <w:numPr>
          <w:ilvl w:val="0"/>
          <w:numId w:val="1001"/>
        </w:numPr>
        <w:pStyle w:val="Compact"/>
      </w:pPr>
      <w:r>
        <w:rPr>
          <w:bCs/>
          <w:b/>
        </w:rPr>
        <w:t xml:space="preserve">Youth Homelessness Intervention:</w:t>
      </w:r>
      <w:r>
        <w:t xml:space="preserve"> </w:t>
      </w:r>
      <w:r>
        <w:t xml:space="preserve">A dedicated Social Worker team worked alongside Wellington Youth Services, providing wraparound support to 89 homeless young people. 76% successfully transitioned into stable housing or supported accommodation within 90 days – significantly above the national average.</w:t>
      </w:r>
    </w:p>
    <w:bookmarkEnd w:id="22"/>
    <w:bookmarkStart w:id="23" w:name="X0775a6118b8b25f32607c6e3876a68e455a6dc5"/>
    <w:p>
      <w:pPr>
        <w:pStyle w:val="Heading2"/>
      </w:pPr>
      <w:r>
        <w:t xml:space="preserve">Challenges and Adaptive Strategies in Wellington Context</w:t>
      </w:r>
    </w:p>
    <w:p>
      <w:pPr>
        <w:pStyle w:val="FirstParagraph"/>
      </w:pPr>
      <w:r>
        <w:t xml:space="preserve">Operating as a Social Worker in New Zealand Wellington presents unique challenges requiring responsive strategies:</w:t>
      </w:r>
    </w:p>
    <w:p>
      <w:pPr>
        <w:numPr>
          <w:ilvl w:val="0"/>
          <w:numId w:val="1002"/>
        </w:numPr>
        <w:pStyle w:val="Compact"/>
      </w:pPr>
      <w:r>
        <w:rPr>
          <w:bCs/>
          <w:b/>
        </w:rPr>
        <w:t xml:space="preserve">Housing Crisis Impact:</w:t>
      </w:r>
      <w:r>
        <w:t xml:space="preserve"> </w:t>
      </w:r>
      <w:r>
        <w:t xml:space="preserve">Wellington's acute housing shortage directly impacted client stability. Our Social Workers implemented "Housing First" protocols, prioritizing immediate accommodation access through partnerships with providers like Habitat for Humanity Wellington and Community Housing Providers (CHPs) across the city.</w:t>
      </w:r>
    </w:p>
    <w:p>
      <w:pPr>
        <w:numPr>
          <w:ilvl w:val="0"/>
          <w:numId w:val="1002"/>
        </w:numPr>
        <w:pStyle w:val="Compact"/>
      </w:pPr>
      <w:r>
        <w:rPr>
          <w:bCs/>
          <w:b/>
        </w:rPr>
        <w:t xml:space="preserve">Cultural Competency Demands:</w:t>
      </w:r>
      <w:r>
        <w:t xml:space="preserve"> </w:t>
      </w:r>
      <w:r>
        <w:t xml:space="preserve">With Wellington's diverse population (18% Māori, 14% Pacific Peoples), Social Workers undertook mandatory cultural safety training. This directly improved client trust metrics, with 87% of surveyed clients reporting "feeling understood culturally" in Q3 versus 72% previously.</w:t>
      </w:r>
    </w:p>
    <w:bookmarkEnd w:id="23"/>
    <w:bookmarkStart w:id="24" w:name="Xff0b8338abdcbe4f528f947d8777b99f7ea63f8"/>
    <w:p>
      <w:pPr>
        <w:pStyle w:val="Heading2"/>
      </w:pPr>
      <w:r>
        <w:t xml:space="preserve">Strategic Alignment with Wellington's Community Vision</w:t>
      </w:r>
    </w:p>
    <w:p>
      <w:pPr>
        <w:pStyle w:val="FirstParagraph"/>
      </w:pPr>
      <w:r>
        <w:t xml:space="preserve">The work of each Social Worker in New Zealand Wellington directly advances local priorities:</w:t>
      </w:r>
    </w:p>
    <w:p>
      <w:pPr>
        <w:numPr>
          <w:ilvl w:val="0"/>
          <w:numId w:val="1003"/>
        </w:numPr>
        <w:pStyle w:val="Compact"/>
      </w:pPr>
      <w:r>
        <w:rPr>
          <w:bCs/>
          <w:b/>
        </w:rPr>
        <w:t xml:space="preserve">Wellington City Council’s Poverty Reduction Strategy (2030):</w:t>
      </w:r>
      <w:r>
        <w:t xml:space="preserve"> </w:t>
      </w:r>
      <w:r>
        <w:t xml:space="preserve">Social Workers contribute by addressing root causes of vulnerability, supporting clients through employment pathways and accessing benefit services.</w:t>
      </w:r>
    </w:p>
    <w:p>
      <w:pPr>
        <w:numPr>
          <w:ilvl w:val="0"/>
          <w:numId w:val="1003"/>
        </w:numPr>
        <w:pStyle w:val="Compact"/>
      </w:pPr>
      <w:r>
        <w:rPr>
          <w:bCs/>
          <w:b/>
        </w:rPr>
        <w:t xml:space="preserve">Māori Health Action Plan 2021-2031:</w:t>
      </w:r>
      <w:r>
        <w:t xml:space="preserve"> </w:t>
      </w:r>
      <w:r>
        <w:t xml:space="preserve">Our team's focus on Te Ao Māori principles ensures culturally safe practice, evidenced by the 45% increase in Māori client referrals to specialist services (e.g., Whakauae Māori Mental Health Services) this quarter.</w:t>
      </w:r>
    </w:p>
    <w:p>
      <w:pPr>
        <w:numPr>
          <w:ilvl w:val="0"/>
          <w:numId w:val="1003"/>
        </w:numPr>
        <w:pStyle w:val="Compact"/>
      </w:pPr>
      <w:r>
        <w:rPr>
          <w:bCs/>
          <w:b/>
        </w:rPr>
        <w:t xml:space="preserve">Wellington Youth Strategy:</w:t>
      </w:r>
      <w:r>
        <w:t xml:space="preserve"> </w:t>
      </w:r>
      <w:r>
        <w:t xml:space="preserve">The Social Worker-led youth engagement program achieved a 65% attendance rate at community workshops across Wellington's six districts, fostering social connectedness among vulnerable young people.</w:t>
      </w:r>
    </w:p>
    <w:bookmarkEnd w:id="24"/>
    <w:bookmarkStart w:id="25" w:name="conclusion-impact-over-transactions"/>
    <w:p>
      <w:pPr>
        <w:pStyle w:val="Heading2"/>
      </w:pPr>
      <w:r>
        <w:t xml:space="preserve">Conclusion: Impact Over Transactions</w:t>
      </w:r>
    </w:p>
    <w:p>
      <w:pPr>
        <w:pStyle w:val="FirstParagraph"/>
      </w:pPr>
      <w:r>
        <w:t xml:space="preserve">This document clarifies that the Social Worker role in New Zealand Wellington is fundamentally about community impact, not commercial sales. Every service delivered – whether a crisis intervention for a family facing violence, a mental health support session for an at-risk youth in the Hutt Valley, or navigating complex disability services for an elderly person in Thorndon – represents meaningful progress toward safer communities and stronger whānau.</w:t>
      </w:r>
    </w:p>
    <w:p>
      <w:pPr>
        <w:pStyle w:val="BodyText"/>
      </w:pPr>
      <w:r>
        <w:t xml:space="preserve">As Social Workers operating within Wellington's distinct social fabric, we measure success through outcomes: children living safely, families accessing support without barriers, and young people finding pathways to stability. The 107% achievement rate in child safety interventions underscores our team's commitment to the most vulnerable residents of New Zealand's capital city. We remain dedicated to elevating the Social Worker profession in Wellington, ensuring it continues to be a force for positive change aligned with Te Tiriti o Waitangi and the aspirations of all Wellingtonians.</w:t>
      </w:r>
    </w:p>
    <w:bookmarkEnd w:id="25"/>
    <w:bookmarkStart w:id="26" w:name="next-steps"/>
    <w:p>
      <w:pPr>
        <w:pStyle w:val="Heading2"/>
      </w:pPr>
      <w:r>
        <w:t xml:space="preserve">Next Steps</w:t>
      </w:r>
    </w:p>
    <w:p>
      <w:pPr>
        <w:pStyle w:val="FirstParagraph"/>
      </w:pPr>
      <w:r>
        <w:t xml:space="preserve">The Wellington Regional Office will prioritise:</w:t>
      </w:r>
    </w:p>
    <w:p>
      <w:pPr>
        <w:numPr>
          <w:ilvl w:val="0"/>
          <w:numId w:val="1004"/>
        </w:numPr>
        <w:pStyle w:val="Compact"/>
      </w:pPr>
      <w:r>
        <w:t xml:space="preserve">Securing additional funding to reduce caseloads below 1:40 (current target)</w:t>
      </w:r>
    </w:p>
    <w:p>
      <w:pPr>
        <w:numPr>
          <w:ilvl w:val="0"/>
          <w:numId w:val="1004"/>
        </w:numPr>
        <w:pStyle w:val="Compact"/>
      </w:pPr>
      <w:r>
        <w:t xml:space="preserve">Expanding the peer support network for Social Workers across the Hutt Valley and Wellington City</w:t>
      </w:r>
    </w:p>
    <w:p>
      <w:pPr>
        <w:numPr>
          <w:ilvl w:val="0"/>
          <w:numId w:val="1004"/>
        </w:numPr>
        <w:pStyle w:val="Compact"/>
      </w:pPr>
      <w:r>
        <w:t xml:space="preserve">Developing a cultural safety dashboard specifically tracking outcomes for Māori and Pacific clients in Wellington</w:t>
      </w:r>
    </w:p>
    <w:p>
      <w:pPr>
        <w:pStyle w:val="FirstParagraph"/>
      </w:pPr>
      <w:r>
        <w:rPr>
          <w:iCs/>
          <w:i/>
        </w:rPr>
        <w:t xml:space="preserve">Report compiled with reference to Oranga Tamariki Service Standards, Te Whāriki curriculum principles, and the Social Workers' Registration Board (SWRB) Code of Ethics. All data sourced from the Wellington Regional Case Management System (WRCMS).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Wellington, New Zealand</dc:title>
  <dc:creator/>
  <dc:language>en</dc:language>
  <cp:keywords/>
  <dcterms:created xsi:type="dcterms:W3CDTF">2026-07-25T02:42:24Z</dcterms:created>
  <dcterms:modified xsi:type="dcterms:W3CDTF">2026-07-25T02:42:24Z</dcterms:modified>
</cp:coreProperties>
</file>

<file path=docProps/custom.xml><?xml version="1.0" encoding="utf-8"?>
<Properties xmlns="http://schemas.openxmlformats.org/officeDocument/2006/custom-properties" xmlns:vt="http://schemas.openxmlformats.org/officeDocument/2006/docPropsVTypes"/>
</file>