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Performance</w:t>
      </w:r>
      <w:r>
        <w:t xml:space="preserve"> </w:t>
      </w:r>
      <w:r>
        <w:t xml:space="preserve">Sales</w:t>
      </w:r>
      <w:r>
        <w:t xml:space="preserve"> </w:t>
      </w:r>
      <w:r>
        <w:t xml:space="preserve">Report:</w:t>
      </w:r>
      <w:r>
        <w:t xml:space="preserve"> </w:t>
      </w:r>
      <w:r>
        <w:t xml:space="preserve">Abuja,</w:t>
      </w:r>
      <w:r>
        <w:t xml:space="preserve"> </w:t>
      </w:r>
      <w:r>
        <w:t xml:space="preserve">Nigeria</w:t>
      </w:r>
    </w:p>
    <w:bookmarkStart w:id="27" w:name="Xe6965c64bac58a1f86569361949a290944aac1f"/>
    <w:p>
      <w:pPr>
        <w:pStyle w:val="Heading1"/>
      </w:pPr>
      <w:r>
        <w:t xml:space="preserve">Social Worker Performance Sales Report: Abuja, Nigeria - Q3 2023</w:t>
      </w:r>
    </w:p>
    <w:p>
      <w:pPr>
        <w:pStyle w:val="FirstParagraph"/>
      </w:pPr>
      <w:r>
        <w:rPr>
          <w:bCs/>
          <w:b/>
        </w:rPr>
        <w:t xml:space="preserve">Prepared For:</w:t>
      </w:r>
      <w:r>
        <w:t xml:space="preserve"> </w:t>
      </w:r>
      <w:r>
        <w:t xml:space="preserve">National Social Development Agency (NSDA), Abuja Office</w:t>
      </w:r>
      <w:r>
        <w:br/>
      </w:r>
      <w:r>
        <w:rPr>
          <w:bCs/>
          <w:b/>
        </w:rPr>
        <w:t xml:space="preserve">Report Period: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Location:</w:t>
      </w:r>
      <w:r>
        <w:t xml:space="preserve"> </w:t>
      </w:r>
      <w:r>
        <w:t xml:space="preserve">Abuja Federal Capital Territory, Nigeria</w:t>
      </w:r>
    </w:p>
    <w:bookmarkStart w:id="20" w:name="i.-executive-summary"/>
    <w:p>
      <w:pPr>
        <w:pStyle w:val="Heading2"/>
      </w:pPr>
      <w:r>
        <w:t xml:space="preserve">I. Executive Summary</w:t>
      </w:r>
    </w:p>
    <w:p>
      <w:pPr>
        <w:pStyle w:val="FirstParagraph"/>
      </w:pPr>
      <w:r>
        <w:t xml:space="preserve">This Sales Report details the performance metrics of our Social Worker team operating across key communities in Nigeria's capital city, Abuja. The quarter demonstrated remarkable growth in client engagement and service delivery outcomes, directly aligning with NSDA's strategic goals for urban social development in Nigeria. Our 15 dedicated Social Workers achieved a 92% case resolution rate across 387 active cases—surpassing the Q3 target by 14.7%—while navigating unique challenges specific to Abuja's socio-economic landscape. This report confirms that our Social Worker initiative remains a critical investment in Nigeria's social infrastructure, particularly within the dynamic environment of Abuja.</w:t>
      </w:r>
    </w:p>
    <w:bookmarkEnd w:id="20"/>
    <w:bookmarkStart w:id="21" w:name="X7734c4a4d0515e4a4ddd47a1da8dbd440e2e97e"/>
    <w:p>
      <w:pPr>
        <w:pStyle w:val="Heading2"/>
      </w:pPr>
      <w:r>
        <w:t xml:space="preserve">II. Key Performance Indicators (Sales Metrics)</w:t>
      </w:r>
    </w:p>
    <w:p>
      <w:pPr>
        <w:pStyle w:val="FirstParagraph"/>
      </w:pPr>
      <w:r>
        <w:t xml:space="preserve">We've adapted traditional sales metrics to measure social impact through client-centric KPIs. Below are our verified performance indicators for Social Workers in Abuja:</w:t>
      </w:r>
    </w:p>
    <w:p>
      <w:pPr>
        <w:pStyle w:val="BodyText"/>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Case Resolution Rate (New Clients)</w:t>
      </w:r>
    </w:p>
    <w:p>
      <w:pPr>
        <w:pStyle w:val="BodyText"/>
      </w:pPr>
      <w:r>
        <w:t xml:space="preserve">80.0%</w:t>
      </w:r>
    </w:p>
    <w:p>
      <w:pPr>
        <w:pStyle w:val="BodyText"/>
      </w:pPr>
      <w:r>
        <w:t xml:space="preserve">92.3%</w:t>
      </w:r>
    </w:p>
    <w:p>
      <w:pPr>
        <w:pStyle w:val="BodyText"/>
      </w:pPr>
      <w:r>
        <w:t xml:space="preserve">+12.3%</w:t>
      </w:r>
    </w:p>
    <w:p>
      <w:pPr>
        <w:pStyle w:val="BodyText"/>
      </w:pPr>
      <w:r>
        <w:t xml:space="preserve">Client Retention Rate</w:t>
      </w:r>
    </w:p>
    <w:p>
      <w:pPr>
        <w:pStyle w:val="BodyText"/>
      </w:pPr>
      <w:r>
        <w:t xml:space="preserve">75.0%</w:t>
      </w:r>
    </w:p>
    <w:p>
      <w:pPr>
        <w:pStyle w:val="BodyText"/>
      </w:pPr>
      <w:r>
        <w:t xml:space="preserve">&lt;</w:t>
      </w:r>
    </w:p>
    <w:p>
      <w:pPr>
        <w:pStyle w:val="BodyText"/>
      </w:pPr>
      <w:r>
        <w:t xml:space="preserve">85.6%</w:t>
      </w:r>
    </w:p>
    <w:p>
      <w:pPr>
        <w:pStyle w:val="BodyText"/>
      </w:pPr>
      <w:r>
        <w:t xml:space="preserve">*Note: "Sales" here refers to successful client outcomes and service uptake, not monetary transactions.</w:t>
      </w:r>
    </w:p>
    <w:bookmarkEnd w:id="21"/>
    <w:bookmarkStart w:id="22" w:name="X1eec6ecc3d32a21fe16510313f764e561d87e38"/>
    <w:p>
      <w:pPr>
        <w:pStyle w:val="Heading2"/>
      </w:pPr>
      <w:r>
        <w:t xml:space="preserve">III. Abuja-Specific Performance Highlights</w:t>
      </w:r>
    </w:p>
    <w:p>
      <w:pPr>
        <w:pStyle w:val="FirstParagraph"/>
      </w:pPr>
      <w:r>
        <w:t xml:space="preserve">The unique context of Nigeria's Federal Capital Territory demanded adaptive social work strategies. Our Social Workers in Abuja excelled through:</w:t>
      </w:r>
    </w:p>
    <w:p>
      <w:pPr>
        <w:numPr>
          <w:ilvl w:val="0"/>
          <w:numId w:val="1001"/>
        </w:numPr>
        <w:pStyle w:val="Compact"/>
      </w:pPr>
      <w:r>
        <w:rPr>
          <w:bCs/>
          <w:b/>
        </w:rPr>
        <w:t xml:space="preserve">Community Integration in High-Density Areas:</w:t>
      </w:r>
      <w:r>
        <w:t xml:space="preserve"> </w:t>
      </w:r>
      <w:r>
        <w:t xml:space="preserve">68% of cases originated from Gwarinpa, Wuse, and Jabi—Abuja's most socio-economically diverse zones. Social Workers developed culturally tailored outreach programs that increased service uptake by 41% in these areas.</w:t>
      </w:r>
    </w:p>
    <w:p>
      <w:pPr>
        <w:numPr>
          <w:ilvl w:val="0"/>
          <w:numId w:val="1001"/>
        </w:numPr>
        <w:pStyle w:val="Compact"/>
      </w:pPr>
      <w:r>
        <w:rPr>
          <w:bCs/>
          <w:b/>
        </w:rPr>
        <w:t xml:space="preserve">Government Partnership Synergy:</w:t>
      </w:r>
      <w:r>
        <w:t xml:space="preserve"> </w:t>
      </w:r>
      <w:r>
        <w:t xml:space="preserve">Collaboration with Abuja Municipal Area Council (AMAC) led to 27 joint initiatives, including housing assistance for 38 displaced families affected by recent urban development projects. This "sales" of coordinated service delivery directly supported Nigeria's Urban Renewal Policy.</w:t>
      </w:r>
    </w:p>
    <w:p>
      <w:pPr>
        <w:numPr>
          <w:ilvl w:val="0"/>
          <w:numId w:val="1001"/>
        </w:numPr>
        <w:pStyle w:val="Compact"/>
      </w:pPr>
      <w:r>
        <w:rPr>
          <w:bCs/>
          <w:b/>
        </w:rPr>
        <w:t xml:space="preserve">Child Welfare Impact:</w:t>
      </w:r>
      <w:r>
        <w:t xml:space="preserve"> </w:t>
      </w:r>
      <w:r>
        <w:t xml:space="preserve">Social Workers handled 112 child protection cases in Abuja—exceeding targets by 34%. Cases included reunification efforts for children from cross-border trafficking networks (Nigeria-ECOWAS corridor), demonstrating critical regional security integration.</w:t>
      </w:r>
    </w:p>
    <w:bookmarkEnd w:id="22"/>
    <w:bookmarkStart w:id="23" w:name="X648e6d43158a4d2e690a6eab9497719edfb8079"/>
    <w:p>
      <w:pPr>
        <w:pStyle w:val="Heading2"/>
      </w:pPr>
      <w:r>
        <w:t xml:space="preserve">IV. Challenges &amp; Social Worker Adaptation Strategies</w:t>
      </w:r>
    </w:p>
    <w:p>
      <w:pPr>
        <w:pStyle w:val="FirstParagraph"/>
      </w:pPr>
      <w:r>
        <w:t xml:space="preserve">Nigeria's Abuja context presented distinct obstacles requiring innovative Social Worker responses:</w:t>
      </w:r>
    </w:p>
    <w:p>
      <w:pPr>
        <w:pStyle w:val="BodyText"/>
      </w:pPr>
      <w:r>
        <w:t xml:space="preserve">Challenge</w:t>
      </w:r>
    </w:p>
    <w:p>
      <w:pPr>
        <w:pStyle w:val="BodyText"/>
      </w:pPr>
      <w:r>
        <w:t xml:space="preserve">Social Worker Solution</w:t>
      </w:r>
    </w:p>
    <w:p>
      <w:pPr>
        <w:pStyle w:val="BodyText"/>
      </w:pPr>
      <w:r>
        <w:t xml:space="preserve">Abuja Context Impact</w:t>
      </w:r>
    </w:p>
    <w:p>
      <w:pPr>
        <w:pStyle w:val="BodyText"/>
      </w:pPr>
      <w:r>
        <w:t xml:space="preserve">High Client Mobility (Urban Migration)</w:t>
      </w:r>
    </w:p>
    <w:p>
      <w:pPr>
        <w:pStyle w:val="BodyText"/>
      </w:pPr>
      <w:r>
        <w:t xml:space="preserve">Digital case management system with SMS alerts; mobile units for remote areas</w:t>
      </w:r>
    </w:p>
    <w:p>
      <w:pPr>
        <w:pStyle w:val="BodyText"/>
      </w:pPr>
      <w:r>
        <w:t xml:space="preserve">Reduced client dropout by 28% in Abuja's rapidly growing suburbs</w:t>
      </w:r>
    </w:p>
    <w:p>
      <w:pPr>
        <w:pStyle w:val="BodyText"/>
      </w:pPr>
      <w:r>
        <w:t xml:space="preserve">Limited Government Service Access Points</w:t>
      </w:r>
    </w:p>
    <w:p>
      <w:pPr>
        <w:pStyle w:val="BodyText"/>
      </w:pPr>
      <w:r>
        <w:t xml:space="preserve">Established partnership with 12 Abuja community health centers for co-located services</w:t>
      </w:r>
    </w:p>
    <w:p>
      <w:pPr>
        <w:pStyle w:val="BodyText"/>
      </w:pPr>
      <w:r>
        <w:t xml:space="preserve">Increased service accessibility for 9,000+ residents in underserved areas</w:t>
      </w:r>
    </w:p>
    <w:p>
      <w:pPr>
        <w:pStyle w:val="BodyText"/>
      </w:pPr>
      <w:r>
        <w:t xml:space="preserve">Cultural Barriers to Mental Health Services</w:t>
      </w:r>
    </w:p>
    <w:p>
      <w:pPr>
        <w:pStyle w:val="BodyText"/>
      </w:pPr>
      <w:r>
        <w:t xml:space="preserve">Hired local cultural liaisons; integrated traditional healing practices into care plans</w:t>
      </w:r>
    </w:p>
    <w:p>
      <w:pPr>
        <w:pStyle w:val="BodyText"/>
      </w:pPr>
      <w:r>
        <w:t xml:space="preserve">&lt;</w:t>
      </w:r>
    </w:p>
    <w:p>
      <w:pPr>
        <w:pStyle w:val="BodyText"/>
      </w:pPr>
      <w:r>
        <w:t xml:space="preserve">32% increase in mental health service uptake among rural-urban migrants in Abuja</w:t>
      </w:r>
    </w:p>
    <w:bookmarkEnd w:id="23"/>
    <w:bookmarkStart w:id="24" w:name="Xee7d81a76ce1b4339b9314818b8aef1b89a90e3"/>
    <w:p>
      <w:pPr>
        <w:pStyle w:val="Heading2"/>
      </w:pPr>
      <w:r>
        <w:t xml:space="preserve">V. Sales Performance Financial Impact (Nigeria Context)</w:t>
      </w:r>
    </w:p>
    <w:p>
      <w:pPr>
        <w:pStyle w:val="FirstParagraph"/>
      </w:pPr>
      <w:r>
        <w:t xml:space="preserve">Our Social Worker "sales" model delivers substantial ROI for Nigeria's social investment:</w:t>
      </w:r>
    </w:p>
    <w:p>
      <w:pPr>
        <w:numPr>
          <w:ilvl w:val="0"/>
          <w:numId w:val="1002"/>
        </w:numPr>
        <w:pStyle w:val="Compact"/>
      </w:pPr>
      <w:r>
        <w:rPr>
          <w:bCs/>
          <w:b/>
        </w:rPr>
        <w:t xml:space="preserve">Cost Avoidance:</w:t>
      </w:r>
      <w:r>
        <w:t xml:space="preserve"> </w:t>
      </w:r>
      <w:r>
        <w:t xml:space="preserve">Prevented 147 potential welfare system entries (estimated cost: ₦8.2M avoided) by resolving cases proactively in Abuja communities.</w:t>
      </w:r>
    </w:p>
    <w:p>
      <w:pPr>
        <w:numPr>
          <w:ilvl w:val="0"/>
          <w:numId w:val="1002"/>
        </w:numPr>
        <w:pStyle w:val="Compact"/>
      </w:pPr>
      <w:r>
        <w:rPr>
          <w:bCs/>
          <w:b/>
        </w:rPr>
        <w:t xml:space="preserve">Resource Optimization:</w:t>
      </w:r>
      <w:r>
        <w:t xml:space="preserve"> </w:t>
      </w:r>
      <w:r>
        <w:t xml:space="preserve">Each Social Worker managed 26.5 active cases quarterly—exceeding the national average of 20—reducing per-case service costs by 19%.</w:t>
      </w:r>
    </w:p>
    <w:p>
      <w:pPr>
        <w:numPr>
          <w:ilvl w:val="0"/>
          <w:numId w:val="1002"/>
        </w:numPr>
        <w:pStyle w:val="Compact"/>
      </w:pPr>
      <w:r>
        <w:rPr>
          <w:bCs/>
          <w:b/>
        </w:rPr>
        <w:t xml:space="preserve">National Policy Alignment:</w:t>
      </w:r>
      <w:r>
        <w:t xml:space="preserve"> </w:t>
      </w:r>
      <w:r>
        <w:t xml:space="preserve">Data from Abuja Social Workers directly informed Nigeria's National Poverty Reduction Strategy (2023-2030), with 78% of our case insights adopted in regional guidelines.</w:t>
      </w:r>
    </w:p>
    <w:bookmarkEnd w:id="24"/>
    <w:bookmarkStart w:id="25" w:name="Xb1f317447ec62b8a45494f591481bdf57c22df5"/>
    <w:p>
      <w:pPr>
        <w:pStyle w:val="Heading2"/>
      </w:pPr>
      <w:r>
        <w:t xml:space="preserve">VI. Recommendations for Abuja Social Work Expansion</w:t>
      </w:r>
    </w:p>
    <w:p>
      <w:pPr>
        <w:pStyle w:val="FirstParagraph"/>
      </w:pPr>
      <w:r>
        <w:t xml:space="preserve">Based on Q3 performance, we recommend:</w:t>
      </w:r>
    </w:p>
    <w:p>
      <w:pPr>
        <w:numPr>
          <w:ilvl w:val="0"/>
          <w:numId w:val="1003"/>
        </w:numPr>
        <w:pStyle w:val="Compact"/>
      </w:pPr>
      <w:r>
        <w:rPr>
          <w:bCs/>
          <w:b/>
        </w:rPr>
        <w:t xml:space="preserve">Scale Mobile Units:</w:t>
      </w:r>
      <w:r>
        <w:t xml:space="preserve"> </w:t>
      </w:r>
      <w:r>
        <w:t xml:space="preserve">Deploy 4 additional mobile Social Worker units targeting Abuja's peri-urban settlements (e.g., Bwari, Kwali)—projected to increase service coverage by 25%.</w:t>
      </w:r>
    </w:p>
    <w:p>
      <w:pPr>
        <w:numPr>
          <w:ilvl w:val="0"/>
          <w:numId w:val="1003"/>
        </w:numPr>
        <w:pStyle w:val="Compact"/>
      </w:pPr>
      <w:r>
        <w:rPr>
          <w:bCs/>
          <w:b/>
        </w:rPr>
        <w:t xml:space="preserve">Technology Integration:</w:t>
      </w:r>
      <w:r>
        <w:t xml:space="preserve"> </w:t>
      </w:r>
      <w:r>
        <w:t xml:space="preserve">Implement NSDA's Abuja Digital Hub for real-time case tracking across all Federal Capital Territory agencies, reducing administrative time by 30%.</w:t>
      </w:r>
    </w:p>
    <w:p>
      <w:pPr>
        <w:numPr>
          <w:ilvl w:val="0"/>
          <w:numId w:val="1003"/>
        </w:numPr>
        <w:pStyle w:val="Compact"/>
      </w:pPr>
      <w:r>
        <w:rPr>
          <w:bCs/>
          <w:b/>
        </w:rPr>
        <w:t xml:space="preserve">Government Partnership Framework:</w:t>
      </w:r>
      <w:r>
        <w:t xml:space="preserve"> </w:t>
      </w:r>
      <w:r>
        <w:t xml:space="preserve">Formalize agreements with Abuja State Ministry of Women Affairs to co-manage gender-based violence cases—addressing Nigeria's urgent national priority.</w:t>
      </w:r>
    </w:p>
    <w:bookmarkEnd w:id="25"/>
    <w:bookmarkStart w:id="26" w:name="Xee37a46ceaf70598a8d8a6d03294ff344aee87e"/>
    <w:p>
      <w:pPr>
        <w:pStyle w:val="Heading2"/>
      </w:pPr>
      <w:r>
        <w:t xml:space="preserve">VII. Conclusion: The Social Worker as National Asset</w:t>
      </w:r>
    </w:p>
    <w:p>
      <w:pPr>
        <w:pStyle w:val="FirstParagraph"/>
      </w:pPr>
      <w:r>
        <w:t xml:space="preserve">This Sales Report affirms that Social Workers in Nigeria, particularly operating from Abuja, are not merely service providers but strategic assets driving national development. The 92% resolution rate achieved across diverse Abuja communities demonstrates how culturally intelligent social work directly contributes to Nigeria's Sustainable Development Goals. As the Federal Capital Territory continues to grow as Nigeria's economic and administrative epicenter, our Social Worker initiative proves that human-centered "sales" of effective social services yield greater societal returns than any commercial product. We recommend prioritizing this model across all Nigerian states, with Abuja serving as the benchmark for urban social service excellence in Nigeria.</w:t>
      </w:r>
    </w:p>
    <w:p>
      <w:pPr>
        <w:pStyle w:val="BodyText"/>
      </w:pPr>
      <w:r>
        <w:rPr>
          <w:bCs/>
          <w:b/>
        </w:rPr>
        <w:t xml:space="preserve">Prepared By:</w:t>
      </w:r>
      <w:r>
        <w:t xml:space="preserve"> </w:t>
      </w:r>
      <w:r>
        <w:t xml:space="preserve">Amina Okafor, Head of Social Work Operations</w:t>
      </w:r>
      <w:r>
        <w:br/>
      </w:r>
      <w:r>
        <w:rPr>
          <w:bCs/>
          <w:b/>
        </w:rPr>
        <w:t xml:space="preserve">National Social Development Agency (NSDA), Abuja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Performance Sales Report: Abuja, Nigeria</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