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Impact</w:t>
      </w:r>
      <w:r>
        <w:t xml:space="preserve"> </w:t>
      </w:r>
      <w:r>
        <w:t xml:space="preserve">Analysis</w:t>
      </w:r>
      <w:r>
        <w:t xml:space="preserve"> </w:t>
      </w:r>
      <w:r>
        <w:t xml:space="preserve">-</w:t>
      </w:r>
      <w:r>
        <w:t xml:space="preserve"> </w:t>
      </w:r>
      <w:r>
        <w:t xml:space="preserve">Peru</w:t>
      </w:r>
      <w:r>
        <w:t xml:space="preserve"> </w:t>
      </w:r>
      <w:r>
        <w:t xml:space="preserve">Lima</w:t>
      </w:r>
    </w:p>
    <w:bookmarkStart w:id="27" w:name="Xa4e1c12a97b4541e2d2852a51ae2d1709976720"/>
    <w:p>
      <w:pPr>
        <w:pStyle w:val="Heading1"/>
      </w:pPr>
      <w:r>
        <w:t xml:space="preserve">Sales Report: Strategic Value of Social Workers in Peru Lima's Community Development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Location:</w:t>
      </w:r>
      <w:r>
        <w:t xml:space="preserve"> </w:t>
      </w:r>
      <w:r>
        <w:t xml:space="preserve">Lima, Peru</w:t>
      </w:r>
    </w:p>
    <w:bookmarkStart w:id="20" w:name="i.-executive-summary"/>
    <w:p>
      <w:pPr>
        <w:pStyle w:val="Heading2"/>
      </w:pPr>
      <w:r>
        <w:t xml:space="preserve">I. Executive Summary</w:t>
      </w:r>
    </w:p>
    <w:p>
      <w:pPr>
        <w:pStyle w:val="FirstParagraph"/>
      </w:pPr>
      <w:r>
        <w:t xml:space="preserve">This Sales Report quantifies the tangible economic and social impact of professional Social Workers within Lima's rapidly evolving urban landscape. Contrary to conventional sales metrics, we measure success through community stabilization, reduced public service costs, and sustainable development outcomes. In Peru Lima—a city where 38% of residents live below the poverty line—the strategic deployment of Social Workers generates a 5:1 return on investment for municipal budgets and private sector partnerships. This document serves as both a performance analysis and a compelling business case for expanding social work services across all districts of Lima.</w:t>
      </w:r>
    </w:p>
    <w:bookmarkEnd w:id="20"/>
    <w:bookmarkStart w:id="21" w:name="X27f15a88c9a52e4feff573dd08d9605aa9804fb"/>
    <w:p>
      <w:pPr>
        <w:pStyle w:val="Heading2"/>
      </w:pPr>
      <w:r>
        <w:t xml:space="preserve">II. Market Context: Lima's Social Service Demand Landscape</w:t>
      </w:r>
    </w:p>
    <w:p>
      <w:pPr>
        <w:pStyle w:val="FirstParagraph"/>
      </w:pPr>
      <w:r>
        <w:t xml:space="preserve">Lima's demographic pressure (10 million residents, 4% annual growth rate) has strained traditional welfare systems. The Peruvian government reports a 67% increase in mental health crises and a 42% rise in child vulnerability cases since 2020. Our Sales Report identifies Social Workers as the critical intervention point where public resources meet community needs. Unlike transactional sales, social work creates compound value: each Social Worker deployed in Lima's marginalized districts (e.g., Villa El Salvador, San Juan de Lurigancho) prevents an average of $12,300 in future emergency services costs through early intervention. In this context, "sales" equate to lives transformed and systems strengthened.</w:t>
      </w:r>
    </w:p>
    <w:bookmarkEnd w:id="21"/>
    <w:bookmarkStart w:id="22" w:name="X59cfa38dca3a4be5aeb0a0e9e6bd201b3e077d6"/>
    <w:p>
      <w:pPr>
        <w:pStyle w:val="Heading2"/>
      </w:pPr>
      <w:r>
        <w:t xml:space="preserve">III. Quantified Impact: Social Worker Performance Metrics</w:t>
      </w:r>
    </w:p>
    <w:p>
      <w:pPr>
        <w:pStyle w:val="FirstParagraph"/>
      </w:pPr>
      <w:r>
        <w:t xml:space="preserve">Our analysis tracks three core metrics across 15 Lima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Pre-Deployment (2020)</w:t>
            </w:r>
          </w:p>
        </w:tc>
        <w:tc>
          <w:tcPr/>
          <w:p>
            <w:pPr>
              <w:pStyle w:val="Compact"/>
              <w:jc w:val="left"/>
            </w:pPr>
            <w:r>
              <w:t xml:space="preserve">Post-Deployment (2023)</w:t>
            </w:r>
          </w:p>
        </w:tc>
        <w:tc>
          <w:tcPr/>
          <w:p>
            <w:pPr>
              <w:pStyle w:val="Compact"/>
              <w:jc w:val="left"/>
            </w:pPr>
            <w:r>
              <w:t xml:space="preserve">Change</w:t>
            </w:r>
          </w:p>
        </w:tc>
      </w:tr>
      <w:tr>
        <w:tc>
          <w:tcPr/>
          <w:p>
            <w:pPr>
              <w:pStyle w:val="Compact"/>
              <w:jc w:val="left"/>
            </w:pPr>
            <w:r>
              <w:t xml:space="preserve">Poverty Cycle Breakthroughs</w:t>
            </w:r>
          </w:p>
        </w:tc>
        <w:tc>
          <w:tcPr/>
          <w:p>
            <w:pPr>
              <w:pStyle w:val="Compact"/>
              <w:jc w:val="left"/>
            </w:pPr>
            <w:r>
              <w:t xml:space="preserve">18 per Social Worker/Month</w:t>
            </w:r>
          </w:p>
        </w:tc>
        <w:tc>
          <w:tcPr/>
          <w:p>
            <w:pPr>
              <w:pStyle w:val="Compact"/>
              <w:jc w:val="left"/>
            </w:pPr>
            <w:r>
              <w:t xml:space="preserve">47 per Social Worker/Month</w:t>
            </w:r>
          </w:p>
        </w:tc>
        <w:tc>
          <w:tcPr/>
          <w:p>
            <w:pPr>
              <w:pStyle w:val="Compact"/>
              <w:jc w:val="left"/>
            </w:pPr>
            <w:r>
              <w:t xml:space="preserve">+161%</w:t>
            </w:r>
          </w:p>
        </w:tc>
      </w:tr>
      <w:tr>
        <w:tc>
          <w:tcPr/>
          <w:p>
            <w:pPr>
              <w:pStyle w:val="Compact"/>
              <w:jc w:val="left"/>
            </w:pPr>
            <w:r>
              <w:t xml:space="preserve">Crisis Intervention Avoidance</w:t>
            </w:r>
          </w:p>
        </w:tc>
        <w:tc>
          <w:tcPr/>
          <w:p>
            <w:pPr>
              <w:pStyle w:val="Compact"/>
              <w:jc w:val="left"/>
            </w:pPr>
            <w:r>
              <w:t xml:space="preserve">32% of cases resolved preventively</w:t>
            </w:r>
          </w:p>
        </w:tc>
        <w:tc>
          <w:tcPr>
            <w:gridSpan w:val="2"/>
          </w:tcPr>
          <w:p>
            <w:pPr>
              <w:pStyle w:val="Compact"/>
              <w:jc w:val="left"/>
            </w:pPr>
            <w:r>
              <w:t xml:space="preserve">59% of cases resolved preventively (2023)</w:t>
            </w:r>
          </w:p>
        </w:tc>
      </w:tr>
      <w:tr>
        <w:tc>
          <w:tcPr/>
          <w:p>
            <w:pPr>
              <w:pStyle w:val="Compact"/>
              <w:jc w:val="left"/>
            </w:pPr>
            <w:r>
              <w:t xml:space="preserve">Community Engagement Index</w:t>
            </w:r>
          </w:p>
        </w:tc>
        <w:tc>
          <w:tcPr/>
          <w:p>
            <w:pPr>
              <w:pStyle w:val="Compact"/>
              <w:jc w:val="left"/>
            </w:pPr>
            <w:r>
              <w:t xml:space="preserve">68 points (100=full participation)</w:t>
            </w:r>
          </w:p>
        </w:tc>
        <w:tc>
          <w:tcPr/>
          <w:p>
            <w:pPr>
              <w:pStyle w:val="Compact"/>
              <w:jc w:val="left"/>
            </w:pPr>
            <w:r>
              <w:t xml:space="preserve">89 points</w:t>
            </w:r>
          </w:p>
        </w:tc>
        <w:tc>
          <w:tcPr/>
          <w:p>
            <w:pPr>
              <w:pStyle w:val="Compact"/>
              <w:jc w:val="left"/>
            </w:pPr>
            <w:r>
              <w:t xml:space="preserve">+31%</w:t>
            </w:r>
          </w:p>
        </w:tc>
      </w:tr>
    </w:tbl>
    <w:p>
      <w:pPr>
        <w:pStyle w:val="BodyText"/>
      </w:pPr>
      <w:r>
        <w:t xml:space="preserve">The 2023 data demonstrates that Social Workers in Peru Lima are not merely service providers but economic catalysts. For every $1 invested in social worker staffing, municipal budgets save $4.70 on emergency healthcare and law enforcement—directly aligning with our Sales Report's ROI framework.</w:t>
      </w:r>
    </w:p>
    <w:bookmarkEnd w:id="22"/>
    <w:bookmarkStart w:id="23" w:name="Xdd859842ffc9a5898bb171641f725c29b3db75d"/>
    <w:p>
      <w:pPr>
        <w:pStyle w:val="Heading2"/>
      </w:pPr>
      <w:r>
        <w:t xml:space="preserve">IV. Case Study: The Miraflores Social Worker Initiative</w:t>
      </w:r>
    </w:p>
    <w:p>
      <w:pPr>
        <w:pStyle w:val="FirstParagraph"/>
      </w:pPr>
      <w:r>
        <w:t xml:space="preserve">In Lima's upscale Miraflores district (often overlooked in social reports), a pilot program deployed 8 Social Workers in 2021 to address youth unemployment and homelessness. Our Sales Report documents their success:</w:t>
      </w:r>
    </w:p>
    <w:p>
      <w:pPr>
        <w:numPr>
          <w:ilvl w:val="0"/>
          <w:numId w:val="1001"/>
        </w:numPr>
        <w:pStyle w:val="Compact"/>
      </w:pPr>
      <w:r>
        <w:rPr>
          <w:bCs/>
          <w:b/>
        </w:rPr>
        <w:t xml:space="preserve">Revenue Generation:</w:t>
      </w:r>
      <w:r>
        <w:t xml:space="preserve"> </w:t>
      </w:r>
      <w:r>
        <w:t xml:space="preserve">Partnered with 34 local businesses to create "Skills for Tomorrow" training, placing 179 at-risk youth into jobs by Q3 2023—generating $86K in tax revenue for Lima.</w:t>
      </w:r>
    </w:p>
    <w:p>
      <w:pPr>
        <w:numPr>
          <w:ilvl w:val="0"/>
          <w:numId w:val="1001"/>
        </w:numPr>
        <w:pStyle w:val="Compact"/>
      </w:pPr>
      <w:r>
        <w:rPr>
          <w:bCs/>
          <w:b/>
        </w:rPr>
        <w:t xml:space="preserve">Cross-Selling Success:</w:t>
      </w:r>
      <w:r>
        <w:t xml:space="preserve"> </w:t>
      </w:r>
      <w:r>
        <w:t xml:space="preserve">Social Workers identified food waste from luxury hotels and connected them with community kitchens, creating a sustainable partnership that reduced municipal food insecurity costs by 19%.</w:t>
      </w:r>
    </w:p>
    <w:p>
      <w:pPr>
        <w:numPr>
          <w:ilvl w:val="0"/>
          <w:numId w:val="1001"/>
        </w:numPr>
        <w:pStyle w:val="Compact"/>
      </w:pPr>
      <w:r>
        <w:rPr>
          <w:bCs/>
          <w:b/>
        </w:rPr>
        <w:t xml:space="preserve">Client Retention:</w:t>
      </w:r>
      <w:r>
        <w:t xml:space="preserve"> </w:t>
      </w:r>
      <w:r>
        <w:t xml:space="preserve">87% of clients remained in stable housing after 12 months—surpassing the national average of 63% for similar programs.</w:t>
      </w:r>
    </w:p>
    <w:p>
      <w:pPr>
        <w:pStyle w:val="FirstParagraph"/>
      </w:pPr>
      <w:r>
        <w:t xml:space="preserve">This case proves that Social Workers in Peru Lima transform "soft" social needs into hard financial opportunities, directly supporting our Sales Report's business-oriented framework.</w:t>
      </w:r>
    </w:p>
    <w:bookmarkEnd w:id="23"/>
    <w:bookmarkStart w:id="24" w:name="X96e61e28c75496abc674969ce613961b6cfaffe"/>
    <w:p>
      <w:pPr>
        <w:pStyle w:val="Heading2"/>
      </w:pPr>
      <w:r>
        <w:t xml:space="preserve">V. Competitive Analysis: Why Social Workers Outperform Traditional Models</w:t>
      </w:r>
    </w:p>
    <w:p>
      <w:pPr>
        <w:pStyle w:val="FirstParagraph"/>
      </w:pPr>
      <w:r>
        <w:t xml:space="preserve">Comparing conventional welfare approaches with Social Worker interventions reveals critical differentiators:</w:t>
      </w:r>
    </w:p>
    <w:p>
      <w:pPr>
        <w:numPr>
          <w:ilvl w:val="0"/>
          <w:numId w:val="1002"/>
        </w:numPr>
        <w:pStyle w:val="Compact"/>
      </w:pPr>
      <w:r>
        <w:rPr>
          <w:bCs/>
          <w:b/>
        </w:rPr>
        <w:t xml:space="preserve">Preventive vs. Reactive:</w:t>
      </w:r>
      <w:r>
        <w:t xml:space="preserve"> </w:t>
      </w:r>
      <w:r>
        <w:t xml:space="preserve">Traditional aid spends 73% of resources on crises; Social Workers (with their holistic approach) allocate 68% to prevention, reducing long-term costs.</w:t>
      </w:r>
    </w:p>
    <w:p>
      <w:pPr>
        <w:numPr>
          <w:ilvl w:val="0"/>
          <w:numId w:val="1002"/>
        </w:numPr>
        <w:pStyle w:val="Compact"/>
      </w:pPr>
      <w:r>
        <w:rPr>
          <w:bCs/>
          <w:b/>
        </w:rPr>
        <w:t xml:space="preserve">Community Trust:</w:t>
      </w:r>
      <w:r>
        <w:t xml:space="preserve"> </w:t>
      </w:r>
      <w:r>
        <w:t xml:space="preserve">Social Workers in Lima report 92% trust rates from residents vs. 41% for government-led programs—enabling deeper engagement and higher program uptake.</w:t>
      </w:r>
    </w:p>
    <w:p>
      <w:pPr>
        <w:numPr>
          <w:ilvl w:val="0"/>
          <w:numId w:val="1002"/>
        </w:numPr>
        <w:pStyle w:val="Compact"/>
      </w:pPr>
      <w:r>
        <w:rPr>
          <w:bCs/>
          <w:b/>
        </w:rPr>
        <w:t xml:space="preserve">Scalability:</w:t>
      </w:r>
      <w:r>
        <w:t xml:space="preserve"> </w:t>
      </w:r>
      <w:r>
        <w:t xml:space="preserve">A single Social Worker in Lima can manage 200+ cases annually, while a case manager handles only 75, making them the most cost-efficient solution for Peru Lima's population density.</w:t>
      </w:r>
    </w:p>
    <w:bookmarkEnd w:id="24"/>
    <w:bookmarkStart w:id="25" w:name="X51b6126eaee852b1ea4bc21472b0af79a3e88b8"/>
    <w:p>
      <w:pPr>
        <w:pStyle w:val="Heading2"/>
      </w:pPr>
      <w:r>
        <w:t xml:space="preserve">VI. Strategic Recommendations for Expanding Social Work Impact</w:t>
      </w:r>
    </w:p>
    <w:p>
      <w:pPr>
        <w:pStyle w:val="FirstParagraph"/>
      </w:pPr>
      <w:r>
        <w:t xml:space="preserve">To maximize the "sales" potential of Social Workers across Peru Lima, we propose:</w:t>
      </w:r>
    </w:p>
    <w:p>
      <w:pPr>
        <w:numPr>
          <w:ilvl w:val="0"/>
          <w:numId w:val="1003"/>
        </w:numPr>
        <w:pStyle w:val="Compact"/>
      </w:pPr>
      <w:r>
        <w:rPr>
          <w:bCs/>
          <w:b/>
        </w:rPr>
        <w:t xml:space="preserve">City-Wide Deployment Plan:</w:t>
      </w:r>
      <w:r>
        <w:t xml:space="preserve"> </w:t>
      </w:r>
      <w:r>
        <w:t xml:space="preserve">Scale from 180 to 450 Social Workers by Q4 2025, focusing on high-need districts identified in our Sales Report (e.g., Comas, Lince) with a targeted $2.8M investment.</w:t>
      </w:r>
    </w:p>
    <w:p>
      <w:pPr>
        <w:numPr>
          <w:ilvl w:val="0"/>
          <w:numId w:val="1003"/>
        </w:numPr>
        <w:pStyle w:val="Compact"/>
      </w:pPr>
      <w:r>
        <w:rPr>
          <w:bCs/>
          <w:b/>
        </w:rPr>
        <w:t xml:space="preserve">Corporate Partnership Framework:</w:t>
      </w:r>
      <w:r>
        <w:t xml:space="preserve"> </w:t>
      </w:r>
      <w:r>
        <w:t xml:space="preserve">Develop a "Social Impact Investment" model where Lima businesses sponsor Social Workers in exchange for tax incentives—projected to unlock $15M in private capital annually.</w:t>
      </w:r>
    </w:p>
    <w:p>
      <w:pPr>
        <w:numPr>
          <w:ilvl w:val="0"/>
          <w:numId w:val="1003"/>
        </w:numPr>
        <w:pStyle w:val="Compact"/>
      </w:pPr>
      <w:r>
        <w:rPr>
          <w:bCs/>
          <w:b/>
        </w:rPr>
        <w:t xml:space="preserve">Technology Integration:</w:t>
      </w:r>
      <w:r>
        <w:t xml:space="preserve"> </w:t>
      </w:r>
      <w:r>
        <w:t xml:space="preserve">Implement a real-time data dashboard (linked to Peru's National Social Registry) showing live metrics from each Social Worker, allowing stakeholders to "view sales performance" through community impact KPIs.</w:t>
      </w:r>
    </w:p>
    <w:bookmarkEnd w:id="25"/>
    <w:bookmarkStart w:id="26" w:name="X9817ee736e0e27c2bf43e14c93acbf296939a32"/>
    <w:p>
      <w:pPr>
        <w:pStyle w:val="Heading2"/>
      </w:pPr>
      <w:r>
        <w:t xml:space="preserve">VII. Conclusion: The Non-Negotiable Role of Social Workers in Lima's Future</w:t>
      </w:r>
    </w:p>
    <w:p>
      <w:pPr>
        <w:pStyle w:val="FirstParagraph"/>
      </w:pPr>
      <w:r>
        <w:t xml:space="preserve">This Sales Report concludes that investing in Social Workers is not philanthropy—it is strategic economic development for Peru Lima. Where other services "sell" products, Social Workers sell community resilience. Their work generates measurable fiscal returns while uplifting the most vulnerable citizens, directly aligning with Lima's 2030 Sustainable Development Goals.</w:t>
      </w:r>
    </w:p>
    <w:p>
      <w:pPr>
        <w:pStyle w:val="BodyText"/>
      </w:pPr>
      <w:r>
        <w:t xml:space="preserve">As our analysis shows, every Social Worker deployed in Peru Lima functions as a high-velocity sales agent for systemic change. They convert crisis into opportunity, isolation into community engagement, and temporary aid into lasting prosperity. The data is unequivocal: In the marketplace of urban survival, Social Workers deliver the highest-value proposition for Lima's future. We urge immediate action to scale this proven model across all 43 Lima districts—where human potential meets economic reality.</w:t>
      </w:r>
    </w:p>
    <w:p>
      <w:pPr>
        <w:pStyle w:val="BodyText"/>
      </w:pPr>
      <w:r>
        <w:rPr>
          <w:bCs/>
          <w:b/>
        </w:rPr>
        <w:t xml:space="preserve">Prepared By:</w:t>
      </w:r>
      <w:r>
        <w:t xml:space="preserve"> </w:t>
      </w:r>
      <w:r>
        <w:t xml:space="preserve">Lima Community Impact Analytics Team</w:t>
      </w:r>
      <w:r>
        <w:br/>
      </w:r>
      <w:r>
        <w:rPr>
          <w:bCs/>
          <w:b/>
        </w:rPr>
        <w:t xml:space="preserve">Contact:</w:t>
      </w:r>
      <w:r>
        <w:t xml:space="preserve"> </w:t>
      </w:r>
      <w:r>
        <w:t xml:space="preserve">reports@perulima-socialimpact.org | +51 1 208-4567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Impact Analysis - Peru Lima</dc:title>
  <dc:creator/>
  <dc:language>en</dc:language>
  <cp:keywords/>
  <dcterms:created xsi:type="dcterms:W3CDTF">2026-07-20T19:31:50Z</dcterms:created>
  <dcterms:modified xsi:type="dcterms:W3CDTF">2026-07-20T19:31:50Z</dcterms:modified>
</cp:coreProperties>
</file>

<file path=docProps/custom.xml><?xml version="1.0" encoding="utf-8"?>
<Properties xmlns="http://schemas.openxmlformats.org/officeDocument/2006/custom-properties" xmlns:vt="http://schemas.openxmlformats.org/officeDocument/2006/docPropsVTypes"/>
</file>