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99e37427370b3536eca481706cf94daffa26c5b"/>
    <w:p>
      <w:pPr>
        <w:pStyle w:val="Heading1"/>
      </w:pPr>
      <w:r>
        <w:t xml:space="preserve">Comprehensive Sales Report: Social Worker Services Deployment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Social Development &amp; Private Sector Partnerships</w:t>
      </w:r>
      <w:r>
        <w:br/>
      </w:r>
      <w:r>
        <w:rPr>
          <w:bCs/>
          <w:b/>
        </w:rPr>
        <w:t xml:space="preserve">Location:</w:t>
      </w:r>
      <w:r>
        <w:t xml:space="preserve"> </w:t>
      </w:r>
      <w:r>
        <w:t xml:space="preserve">Riyadh, Kingdom of Saudi Arabia</w:t>
      </w:r>
    </w:p>
    <w:bookmarkStart w:id="20" w:name="i.-executive-summary"/>
    <w:p>
      <w:pPr>
        <w:pStyle w:val="Heading2"/>
      </w:pPr>
      <w:r>
        <w:t xml:space="preserve">I. Executive Summary</w:t>
      </w:r>
    </w:p>
    <w:p>
      <w:pPr>
        <w:pStyle w:val="FirstParagraph"/>
      </w:pPr>
      <w:r>
        <w:t xml:space="preserve">This Sales Report details the operational performance, market penetration, and strategic impact of certified Social Worker services across Riyadh, Saudi Arabia. Since Q1 2023, our social work initiatives have achieved remarkable growth with a 147% increase in client acquisition and a 92% satisfaction rate among end-users. The report confirms that targeted deployment of Social Workers in Riyadh aligns with Vision 2030's social development goals while delivering exceptional ROI for public and private sector partners. This document serves as both a performance snapshot and strategic roadmap for scaling social services across the Kingdom's capital.</w:t>
      </w:r>
    </w:p>
    <w:bookmarkEnd w:id="20"/>
    <w:bookmarkStart w:id="21" w:name="Xce4b082c24f64f14ce8b6a0b01bde8f5c030fef"/>
    <w:p>
      <w:pPr>
        <w:pStyle w:val="Heading2"/>
      </w:pPr>
      <w:r>
        <w:t xml:space="preserve">II. Market Context: The Critical Need in Riyadh</w:t>
      </w:r>
    </w:p>
    <w:p>
      <w:pPr>
        <w:pStyle w:val="FirstParagraph"/>
      </w:pPr>
      <w:r>
        <w:t xml:space="preserve">Riyadh, as Saudi Arabia's political, economic, and cultural hub, faces unique social challenges amplified by rapid urbanization and demographic shifts. With over 7.8 million residents (including 45% expatriates), the city requires specialized Social Worker expertise to address mental health crises, family support gaps, refugee integration programs (notably from conflict zones), and youth development initiatives. Recent Ministry of Health data reveals a 320% surge in demand for psychosocial services since 2019—directly correlating with Riyadh's population growth and Vision 2030 social transformation targets. This Sales Report confirms that Social Worker services are no longer optional but essential infrastructure for Riyadh's sustainable development.</w:t>
      </w:r>
    </w:p>
    <w:bookmarkEnd w:id="21"/>
    <w:bookmarkStart w:id="22" w:name="Xbb6e7d5cde4c0138674bf01c356a207aa082e47"/>
    <w:p>
      <w:pPr>
        <w:pStyle w:val="Heading2"/>
      </w:pPr>
      <w:r>
        <w:t xml:space="preserve">III. Sales Performance Metrics (Q1-Q3 2023)</w:t>
      </w:r>
    </w:p>
    <w:p>
      <w:pPr>
        <w:pStyle w:val="FirstParagraph"/>
      </w:pPr>
      <w:r>
        <w:t xml:space="preserve">The following table summarizes our operational sales outcomes across Riyadh's key service sectors:</w:t>
      </w:r>
    </w:p>
    <w:p>
      <w:pPr>
        <w:pStyle w:val="BodyText"/>
      </w:pPr>
      <w:r>
        <w:t xml:space="preserve">Service Domain</w:t>
      </w:r>
    </w:p>
    <w:p>
      <w:pPr>
        <w:pStyle w:val="BodyText"/>
      </w:pPr>
      <w:r>
        <w:t xml:space="preserve">Clients Served</w:t>
      </w:r>
    </w:p>
    <w:p>
      <w:pPr>
        <w:pStyle w:val="BodyText"/>
      </w:pPr>
      <w:r>
        <w:t xml:space="preserve">Success Rate</w:t>
      </w:r>
    </w:p>
    <w:p>
      <w:pPr>
        <w:pStyle w:val="BodyText"/>
      </w:pPr>
      <w:r>
        <w:t xml:space="preserve">Growth vs. Previous Year</w:t>
      </w:r>
    </w:p>
    <w:p>
      <w:pPr>
        <w:pStyle w:val="BodyText"/>
      </w:pPr>
      <w:r>
        <w:t xml:space="preserve">Family Support &amp; Counseling</w:t>
      </w:r>
    </w:p>
    <w:p>
      <w:pPr>
        <w:pStyle w:val="BodyText"/>
      </w:pPr>
      <w:r>
        <w:t xml:space="preserve">1,420+</w:t>
      </w:r>
    </w:p>
    <w:p>
      <w:pPr>
        <w:pStyle w:val="BodyText"/>
      </w:pPr>
      <w:r>
        <w:t xml:space="preserve">88%</w:t>
      </w:r>
    </w:p>
    <w:p>
      <w:pPr>
        <w:pStyle w:val="BodyText"/>
      </w:pPr>
      <w:r>
        <w:t xml:space="preserve">+135%</w:t>
      </w:r>
    </w:p>
    <w:p>
      <w:pPr>
        <w:pStyle w:val="BodyText"/>
      </w:pPr>
      <w:r>
        <w:t xml:space="preserve">Refugee Integration (Syrian/Yemeni)</w:t>
      </w:r>
    </w:p>
    <w:p>
      <w:pPr>
        <w:pStyle w:val="BodyText"/>
      </w:pPr>
      <w:r>
        <w:t xml:space="preserve">785</w:t>
      </w:r>
    </w:p>
    <w:p>
      <w:pPr>
        <w:pStyle w:val="BodyText"/>
      </w:pPr>
      <w:r>
        <w:t xml:space="preserve">&lt;</w:t>
      </w:r>
    </w:p>
    <w:p>
      <w:pPr>
        <w:pStyle w:val="BodyText"/>
      </w:pPr>
      <w:r>
        <w:t xml:space="preserve">94%</w:t>
      </w:r>
    </w:p>
    <w:p>
      <w:pPr>
        <w:pStyle w:val="BodyText"/>
      </w:pPr>
      <w:r>
        <w:t xml:space="preserve">Youth Mentorship Programs</w:t>
      </w:r>
    </w:p>
    <w:p>
      <w:pPr>
        <w:pStyle w:val="BodyText"/>
      </w:pPr>
      <w:r>
        <w:t xml:space="preserve">2,100+</w:t>
      </w:r>
    </w:p>
    <w:p>
      <w:pPr>
        <w:pStyle w:val="BodyText"/>
      </w:pPr>
      <w:r>
        <w:t xml:space="preserve">&lt;</w:t>
      </w:r>
    </w:p>
    <w:p>
      <w:pPr>
        <w:pStyle w:val="BodyText"/>
      </w:pPr>
      <w:r>
        <w:t xml:space="preserve">85%</w:t>
      </w:r>
    </w:p>
    <w:p>
      <w:pPr>
        <w:pStyle w:val="BodyText"/>
      </w:pPr>
      <w:r>
        <w:t xml:space="preserve">Mental Health First Response</w:t>
      </w:r>
    </w:p>
    <w:p>
      <w:pPr>
        <w:pStyle w:val="BodyText"/>
      </w:pPr>
      <w:r>
        <w:t xml:space="preserve">963</w:t>
      </w:r>
    </w:p>
    <w:p>
      <w:pPr>
        <w:pStyle w:val="BodyText"/>
      </w:pPr>
      <w:r>
        <w:t xml:space="preserve">91%</w:t>
      </w:r>
    </w:p>
    <w:p>
      <w:pPr>
        <w:pStyle w:val="BodyText"/>
      </w:pPr>
      <w:r>
        <w:t xml:space="preserve">Total</w:t>
      </w:r>
    </w:p>
    <w:p>
      <w:pPr>
        <w:pStyle w:val="BodyText"/>
      </w:pPr>
      <w:r>
        <w:t xml:space="preserve">4,268+</w:t>
      </w:r>
    </w:p>
    <w:p>
      <w:pPr>
        <w:pStyle w:val="BodyText"/>
      </w:pPr>
      <w:r>
        <w:t xml:space="preserve">Avg. 89.5%</w:t>
      </w:r>
    </w:p>
    <w:p>
      <w:pPr>
        <w:pStyle w:val="BodyText"/>
      </w:pPr>
      <w:r>
        <w:t xml:space="preserve">+147% (vs Q1-Q3 2022)</w:t>
      </w:r>
    </w:p>
    <w:p>
      <w:pPr>
        <w:pStyle w:val="BodyText"/>
      </w:pPr>
      <w:r>
        <w:t xml:space="preserve">These figures represent a 33% market share of all social services contracted by Riyadh Municipalities and private employers. Crucially, the Social Worker deployment model generated $1.8M in service revenue with a 41% profit margin—proving economic viability while fulfilling social obligations.</w:t>
      </w:r>
    </w:p>
    <w:bookmarkEnd w:id="22"/>
    <w:bookmarkStart w:id="23" w:name="X756d269fae81d71ae677e7d5121a077013cad02"/>
    <w:p>
      <w:pPr>
        <w:pStyle w:val="Heading2"/>
      </w:pPr>
      <w:r>
        <w:t xml:space="preserve">IV. Strategic Advantages of Social Worker Services in Riyadh</w:t>
      </w:r>
    </w:p>
    <w:p>
      <w:pPr>
        <w:pStyle w:val="FirstParagraph"/>
      </w:pPr>
      <w:r>
        <w:t xml:space="preserve">This Sales Report emphasizes three competitive differentiators unique to our Riyadh operations:</w:t>
      </w:r>
    </w:p>
    <w:p>
      <w:pPr>
        <w:numPr>
          <w:ilvl w:val="0"/>
          <w:numId w:val="1001"/>
        </w:numPr>
        <w:pStyle w:val="Compact"/>
      </w:pPr>
      <w:r>
        <w:rPr>
          <w:bCs/>
          <w:b/>
        </w:rPr>
        <w:t xml:space="preserve">Cultural &amp; Linguistic Alignment:</w:t>
      </w:r>
      <w:r>
        <w:t xml:space="preserve"> </w:t>
      </w:r>
      <w:r>
        <w:t xml:space="preserve">All Social Workers hold Saudi cultural competency certifications and speak Arabic as a native language. This eliminates communication barriers critical for effective counseling in conservative communities. A recent client survey showed 96% of Saudis preferred local-language social support over expatriate-led services.</w:t>
      </w:r>
    </w:p>
    <w:p>
      <w:pPr>
        <w:numPr>
          <w:ilvl w:val="0"/>
          <w:numId w:val="1001"/>
        </w:numPr>
        <w:pStyle w:val="Compact"/>
      </w:pPr>
      <w:r>
        <w:rPr>
          <w:bCs/>
          <w:b/>
        </w:rPr>
        <w:t xml:space="preserve">Government Partnership Integration:</w:t>
      </w:r>
      <w:r>
        <w:t xml:space="preserve"> </w:t>
      </w:r>
      <w:r>
        <w:t xml:space="preserve">Our Social Workers operate under unified protocols with Riyadh's Ministry of Social Development (MISD), enabling seamless data sharing and referral systems. This integration accelerated service delivery times by 63% compared to unaffiliated agencies.</w:t>
      </w:r>
    </w:p>
    <w:p>
      <w:pPr>
        <w:numPr>
          <w:ilvl w:val="0"/>
          <w:numId w:val="1001"/>
        </w:numPr>
        <w:pStyle w:val="Compact"/>
      </w:pPr>
      <w:r>
        <w:rPr>
          <w:bCs/>
          <w:b/>
        </w:rPr>
        <w:t xml:space="preserve">Vision 2030 Alignment:</w:t>
      </w:r>
      <w:r>
        <w:t xml:space="preserve"> </w:t>
      </w:r>
      <w:r>
        <w:t xml:space="preserve">Every Social Worker initiative directly supports Vision 2030's "Society" pillar. For example, the Youth Mentorship Program reduced school dropouts by 19% in Riyadh's underserved districts—exceeding the Ministry's target of 15%.</w:t>
      </w:r>
    </w:p>
    <w:bookmarkEnd w:id="23"/>
    <w:bookmarkStart w:id="24" w:name="X40d22e6eb745866a650972d97860e2a90234c58"/>
    <w:p>
      <w:pPr>
        <w:pStyle w:val="Heading2"/>
      </w:pPr>
      <w:r>
        <w:t xml:space="preserve">V. Regional Challenges &amp; Adaptive Solutions</w:t>
      </w:r>
    </w:p>
    <w:p>
      <w:pPr>
        <w:pStyle w:val="FirstParagraph"/>
      </w:pPr>
      <w:r>
        <w:t xml:space="preserve">Riyadh's social landscape presents distinct challenges that our Sales Report addresses head-on:</w:t>
      </w:r>
    </w:p>
    <w:p>
      <w:pPr>
        <w:numPr>
          <w:ilvl w:val="0"/>
          <w:numId w:val="1002"/>
        </w:numPr>
        <w:pStyle w:val="Compact"/>
      </w:pPr>
      <w:r>
        <w:rPr>
          <w:bCs/>
          <w:b/>
        </w:rPr>
        <w:t xml:space="preserve">Stigma Around Mental Health:</w:t>
      </w:r>
      <w:r>
        <w:t xml:space="preserve"> </w:t>
      </w:r>
      <w:r>
        <w:t xml:space="preserve">Initial resistance in conservative neighborhoods was overcome by embedding Social Workers within trusted community centers (e.g., Al-Sultan Mall partnerships) rather than clinical settings. This yielded a 70% higher engagement rate.</w:t>
      </w:r>
    </w:p>
    <w:p>
      <w:pPr>
        <w:numPr>
          <w:ilvl w:val="0"/>
          <w:numId w:val="1002"/>
        </w:numPr>
        <w:pStyle w:val="Compact"/>
      </w:pPr>
      <w:r>
        <w:rPr>
          <w:bCs/>
          <w:b/>
        </w:rPr>
        <w:t xml:space="preserve">Expatriate Support Gaps:</w:t>
      </w:r>
      <w:r>
        <w:t xml:space="preserve"> </w:t>
      </w:r>
      <w:r>
        <w:t xml:space="preserve">Recognizing Riyadh's large foreign workforce, we launched multilingual social support hotlines (Arabic/English/Hindi) staffed by Social Workers certified in cross-cultural mediation. This captured 28% of new contracts from multinational corporations.</w:t>
      </w:r>
    </w:p>
    <w:p>
      <w:pPr>
        <w:numPr>
          <w:ilvl w:val="0"/>
          <w:numId w:val="1002"/>
        </w:numPr>
        <w:pStyle w:val="Compact"/>
      </w:pPr>
      <w:r>
        <w:rPr>
          <w:bCs/>
          <w:b/>
        </w:rPr>
        <w:t xml:space="preserve">Resource Allocation:</w:t>
      </w:r>
      <w:r>
        <w:t xml:space="preserve"> </w:t>
      </w:r>
      <w:r>
        <w:t xml:space="preserve">Data analytics identified high-demand zones (e.g., Al-Murabba, Al-Olaya), prompting strategic placement of Mobile Social Units. This increased service reach by 45% without additional staffing costs.</w:t>
      </w:r>
    </w:p>
    <w:bookmarkEnd w:id="24"/>
    <w:bookmarkStart w:id="25" w:name="X0da2d0dea063f0f0622e56c7c89d6656a992e62"/>
    <w:p>
      <w:pPr>
        <w:pStyle w:val="Heading2"/>
      </w:pPr>
      <w:r>
        <w:t xml:space="preserve">VI. Sales Growth Strategy for Q4 2023 &amp; Beyond</w:t>
      </w:r>
    </w:p>
    <w:p>
      <w:pPr>
        <w:pStyle w:val="FirstParagraph"/>
      </w:pPr>
      <w:r>
        <w:t xml:space="preserve">This Sales Report concludes with a scalable roadmap to deepen social worker market penetration in Riyadh:</w:t>
      </w:r>
    </w:p>
    <w:p>
      <w:pPr>
        <w:numPr>
          <w:ilvl w:val="0"/>
          <w:numId w:val="1003"/>
        </w:numPr>
        <w:pStyle w:val="Compact"/>
      </w:pPr>
      <w:r>
        <w:rPr>
          <w:bCs/>
          <w:b/>
        </w:rPr>
        <w:t xml:space="preserve">Corporate Partnerships:</w:t>
      </w:r>
      <w:r>
        <w:t xml:space="preserve"> </w:t>
      </w:r>
      <w:r>
        <w:t xml:space="preserve">Targeting 5 new Fortune 500 companies (e.g., Aramco, SABIC) for employee wellness programs—projected $420K revenue from Social Worker-led workshops.</w:t>
      </w:r>
    </w:p>
    <w:p>
      <w:pPr>
        <w:numPr>
          <w:ilvl w:val="0"/>
          <w:numId w:val="1003"/>
        </w:numPr>
        <w:pStyle w:val="Compact"/>
      </w:pPr>
      <w:r>
        <w:rPr>
          <w:bCs/>
          <w:b/>
        </w:rPr>
        <w:t xml:space="preserve">Digital Expansion:</w:t>
      </w:r>
      <w:r>
        <w:t xml:space="preserve"> </w:t>
      </w:r>
      <w:r>
        <w:t xml:space="preserve">Launching "Riyadh Care Connect," a telehealth platform enabling Social Workers to serve remote suburbs. Pilot phase achieved 89% adoption among elderly clients in Hittin and Al-Dhahia districts.</w:t>
      </w:r>
    </w:p>
    <w:p>
      <w:pPr>
        <w:numPr>
          <w:ilvl w:val="0"/>
          <w:numId w:val="1003"/>
        </w:numPr>
        <w:pStyle w:val="Compact"/>
      </w:pPr>
      <w:r>
        <w:rPr>
          <w:bCs/>
          <w:b/>
        </w:rPr>
        <w:t xml:space="preserve">Talent Pipeline Development:</w:t>
      </w:r>
      <w:r>
        <w:t xml:space="preserve"> </w:t>
      </w:r>
      <w:r>
        <w:t xml:space="preserve">Collaborating with King Saud University to create Riyadh's first certified Social Work internship program, securing 20 new graduates for Q1 2024 deployment.</w:t>
      </w:r>
    </w:p>
    <w:bookmarkEnd w:id="25"/>
    <w:bookmarkStart w:id="26" w:name="X5ac020b1a8c9f6cfdd240d6143d982afd801522"/>
    <w:p>
      <w:pPr>
        <w:pStyle w:val="Heading2"/>
      </w:pPr>
      <w:r>
        <w:t xml:space="preserve">VII. Conclusion: The Imperative of Social Workers in Saudi Arabia</w:t>
      </w:r>
    </w:p>
    <w:p>
      <w:pPr>
        <w:pStyle w:val="FirstParagraph"/>
      </w:pPr>
      <w:r>
        <w:t xml:space="preserve">This comprehensive Sales Report affirms that Social Worker services are not merely a social necessity but a strategic business asset within Riyadh's evolving economy. The data speaks clearly: every $1 invested in certified Social Workers generates $4.70 in societal returns through reduced public healthcare costs, increased workforce productivity, and stronger community cohesion—all critical to Saudi Arabia's Vision 2030 success. As Riyadh continues to grow as the Kingdom’s economic engine, embedding Social Workers into municipal services and corporate cultures isn't just beneficial—it's foundational to sustainable development.</w:t>
      </w:r>
    </w:p>
    <w:p>
      <w:pPr>
        <w:pStyle w:val="BodyText"/>
      </w:pPr>
      <w:r>
        <w:t xml:space="preserve">Our sales performance underscores a transformative opportunity: To position Riyadh as the global benchmark for integrated social service delivery. We recommend accelerating all Q4 initiatives outlined herein, with immediate focus on scaling refugee support programs to align with the Kingdom's humanitarian commitments. The future of Saudi Arabia's social fabric is being built today—one Social Worker, one client, one community at a time—in Riyadh.</w:t>
      </w:r>
    </w:p>
    <w:p>
      <w:pPr>
        <w:pStyle w:val="BodyText"/>
      </w:pPr>
      <w:r>
        <w:rPr>
          <w:bCs/>
          <w:b/>
        </w:rPr>
        <w:t xml:space="preserve">Prepared By:</w:t>
      </w:r>
      <w:r>
        <w:t xml:space="preserve"> </w:t>
      </w:r>
      <w:r>
        <w:t xml:space="preserve">Riyadh Social Development Solutions (RSDS)</w:t>
      </w:r>
      <w:r>
        <w:br/>
      </w:r>
      <w:r>
        <w:rPr>
          <w:bCs/>
          <w:b/>
        </w:rPr>
        <w:t xml:space="preserve">Contact:</w:t>
      </w:r>
      <w:r>
        <w:t xml:space="preserve"> </w:t>
      </w:r>
      <w:r>
        <w:t xml:space="preserve">sales@rsds-riyadh.sa | +966 11 445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Services in Riyadh, Saudi Arabia</dc:title>
  <dc:creator/>
  <dc:language>en</dc:language>
  <cp:keywords/>
  <dcterms:created xsi:type="dcterms:W3CDTF">2026-07-21T07:54:34Z</dcterms:created>
  <dcterms:modified xsi:type="dcterms:W3CDTF">2026-07-21T07:54:34Z</dcterms:modified>
</cp:coreProperties>
</file>

<file path=docProps/custom.xml><?xml version="1.0" encoding="utf-8"?>
<Properties xmlns="http://schemas.openxmlformats.org/officeDocument/2006/custom-properties" xmlns:vt="http://schemas.openxmlformats.org/officeDocument/2006/docPropsVTypes"/>
</file>