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Performance</w:t>
      </w:r>
      <w:r>
        <w:t xml:space="preserve"> </w:t>
      </w:r>
      <w:r>
        <w:t xml:space="preserve">in</w:t>
      </w:r>
      <w:r>
        <w:t xml:space="preserve"> </w:t>
      </w:r>
      <w:r>
        <w:t xml:space="preserve">Singapore</w:t>
      </w:r>
      <w:r>
        <w:t xml:space="preserve"> </w:t>
      </w:r>
      <w:r>
        <w:t xml:space="preserve">Singapore</w:t>
      </w:r>
    </w:p>
    <w:bookmarkStart w:id="30" w:name="X6223fe76bd3f647589ae5273e3993cac48104fe"/>
    <w:p>
      <w:pPr>
        <w:pStyle w:val="Heading1"/>
      </w:pPr>
      <w:r>
        <w:t xml:space="preserve">Sales Report: Social Worker Performance in Singapore Singapore</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Ministry of Social and Family Development (MSF), Singapore |</w:t>
      </w:r>
      <w:r>
        <w:t xml:space="preserve"> </w:t>
      </w:r>
      <w:r>
        <w:rPr>
          <w:bCs/>
          <w:b/>
        </w:rPr>
        <w:t xml:space="preserve">Report Period:</w:t>
      </w:r>
      <w:r>
        <w:t xml:space="preserve"> </w:t>
      </w:r>
      <w:r>
        <w:t xml:space="preserve">Q3 2023</w:t>
      </w:r>
    </w:p>
    <w:bookmarkStart w:id="20" w:name="i.-executive-summary"/>
    <w:p>
      <w:pPr>
        <w:pStyle w:val="Heading2"/>
      </w:pPr>
      <w:r>
        <w:t xml:space="preserve">I. Executive Summary</w:t>
      </w:r>
    </w:p>
    <w:p>
      <w:pPr>
        <w:pStyle w:val="FirstParagraph"/>
      </w:pPr>
      <w:r>
        <w:t xml:space="preserve">This Sales Report details the performance metrics, outreach achievements, and strategic impact of Social Workers deployed across Singapore Singapore. Unlike traditional commercial sales roles, our "sales" focus centers on service adoption rates, community engagement success, and measurable improvements in client well-being—directly aligned with Singapore's national social welfare goals. The report confirms that Social Workers in Singapore have exceeded key performance indicators (KPIs) by 18% year-on-year, demonstrating exceptional effectiveness in driving service uptake within the local context of Singapore Singapore.</w:t>
      </w:r>
    </w:p>
    <w:p>
      <w:pPr>
        <w:pStyle w:val="BodyText"/>
      </w:pPr>
      <w:r>
        <w:rPr>
          <w:bCs/>
          <w:b/>
        </w:rPr>
        <w:t xml:space="preserve">Core Insight:</w:t>
      </w:r>
      <w:r>
        <w:t xml:space="preserve"> </w:t>
      </w:r>
      <w:r>
        <w:t xml:space="preserve">In Singapore's unique social ecosystem, the "product" being "sold" is not a commodity but holistic well-being support. Social Workers act as trusted relationship managers, securing client trust (the ultimate conversion) while navigating Singapore's cultural and regulatory landscape.</w:t>
      </w:r>
    </w:p>
    <w:bookmarkEnd w:id="20"/>
    <w:bookmarkStart w:id="21" w:name="X7c4ba460b486f26ea9a1e860ca2b3f290f97cd2"/>
    <w:p>
      <w:pPr>
        <w:pStyle w:val="Heading2"/>
      </w:pPr>
      <w:r>
        <w:t xml:space="preserve">II. Current Market Landscape in Singapore Singapore</w:t>
      </w:r>
    </w:p>
    <w:p>
      <w:pPr>
        <w:pStyle w:val="FirstParagraph"/>
      </w:pPr>
      <w:r>
        <w:t xml:space="preserve">Singapore faces unprecedented demand for social services due to an aging population (18.4% over 65 by 2030), rising mental health challenges, and economic pressures post-pandemic. According to the Ministry of Health's 2023 report, 1 in 4 Singaporean households require subsidized support—creating a dynamic market where Social Workers must proactively "sell" services through community trust-building rather than transactional sales.</w:t>
      </w:r>
    </w:p>
    <w:p>
      <w:pPr>
        <w:pStyle w:val="BodyText"/>
      </w:pPr>
      <w:r>
        <w:t xml:space="preserve">Key trends shaping our "sales strategy" in Singapore Singapore include:</w:t>
      </w:r>
    </w:p>
    <w:p>
      <w:pPr>
        <w:numPr>
          <w:ilvl w:val="0"/>
          <w:numId w:val="1001"/>
        </w:numPr>
        <w:pStyle w:val="Compact"/>
      </w:pPr>
      <w:r>
        <w:rPr>
          <w:bCs/>
          <w:b/>
        </w:rPr>
        <w:t xml:space="preserve">Cultural Nuance:</w:t>
      </w:r>
      <w:r>
        <w:t xml:space="preserve"> </w:t>
      </w:r>
      <w:r>
        <w:t xml:space="preserve">Family-centric values necessitate engaging extended families as stakeholders (e.g., 82% of referrals from community centers involve family consent).</w:t>
      </w:r>
    </w:p>
    <w:p>
      <w:pPr>
        <w:numPr>
          <w:ilvl w:val="0"/>
          <w:numId w:val="1001"/>
        </w:numPr>
        <w:pStyle w:val="Compact"/>
      </w:pPr>
      <w:r>
        <w:rPr>
          <w:bCs/>
          <w:b/>
        </w:rPr>
        <w:t xml:space="preserve">Policy Alignment:</w:t>
      </w:r>
      <w:r>
        <w:t xml:space="preserve"> </w:t>
      </w:r>
      <w:r>
        <w:t xml:space="preserve">MSF's "Community Well-being" initiative requires Social Workers to position services within national frameworks (e.g., Silver Support Scheme).</w:t>
      </w:r>
    </w:p>
    <w:p>
      <w:pPr>
        <w:numPr>
          <w:ilvl w:val="0"/>
          <w:numId w:val="1001"/>
        </w:numPr>
        <w:pStyle w:val="Compact"/>
      </w:pPr>
      <w:r>
        <w:rPr>
          <w:bCs/>
          <w:b/>
        </w:rPr>
        <w:t xml:space="preserve">Digital Integration:</w:t>
      </w:r>
      <w:r>
        <w:t xml:space="preserve"> </w:t>
      </w:r>
      <w:r>
        <w:t xml:space="preserve">70% of service uptake now begins through digital touchpoints like the MyMSF portal—requiring Social Workers to master virtual engagement.</w:t>
      </w:r>
    </w:p>
    <w:bookmarkEnd w:id="21"/>
    <w:bookmarkStart w:id="22" w:name="X1a9c0568a16d4f88c923941a6050e2f8ec32114"/>
    <w:p>
      <w:pPr>
        <w:pStyle w:val="Heading2"/>
      </w:pPr>
      <w:r>
        <w:t xml:space="preserve">III. Performance Metrics: "Sales" KPIs Achieved</w:t>
      </w:r>
    </w:p>
    <w:p>
      <w:pPr>
        <w:pStyle w:val="FirstParagraph"/>
      </w:pPr>
      <w:r>
        <w:t xml:space="preserve">This report measures success through social impact metrics, redefined as commercial KPIs for clarity:</w:t>
      </w:r>
    </w:p>
    <w:p>
      <w:pPr>
        <w:pStyle w:val="BodyText"/>
      </w:pPr>
      <w:r>
        <w:t xml:space="preserve">KPI Category</w:t>
      </w:r>
    </w:p>
    <w:p>
      <w:pPr>
        <w:pStyle w:val="BodyText"/>
      </w:pPr>
      <w:r>
        <w:t xml:space="preserve">Q3 2023 Target</w:t>
      </w:r>
    </w:p>
    <w:p>
      <w:pPr>
        <w:pStyle w:val="BodyText"/>
      </w:pPr>
      <w:r>
        <w:t xml:space="preserve">Actual Result</w:t>
      </w:r>
    </w:p>
    <w:p>
      <w:pPr>
        <w:pStyle w:val="BodyText"/>
      </w:pPr>
      <w:r>
        <w:t xml:space="preserve">Y-o-Y Growth</w:t>
      </w:r>
    </w:p>
    <w:p>
      <w:pPr>
        <w:pStyle w:val="BodyText"/>
      </w:pPr>
      <w:r>
        <w:rPr>
          <w:bCs/>
          <w:b/>
        </w:rPr>
        <w:t xml:space="preserve">Service Uptake Rate (Client Acquisition)</w:t>
      </w:r>
    </w:p>
    <w:p>
      <w:pPr>
        <w:pStyle w:val="BodyText"/>
      </w:pPr>
      <w:r>
        <w:t xml:space="preserve">1,200 new cases</w:t>
      </w:r>
    </w:p>
    <w:p>
      <w:pPr>
        <w:pStyle w:val="BodyText"/>
      </w:pPr>
      <w:r>
        <w:rPr>
          <w:bCs/>
          <w:b/>
        </w:rPr>
        <w:t xml:space="preserve">1,438 cases</w:t>
      </w:r>
    </w:p>
    <w:p>
      <w:pPr>
        <w:pStyle w:val="BodyText"/>
      </w:pPr>
      <w:r>
        <w:t xml:space="preserve">+28%</w:t>
      </w:r>
    </w:p>
    <w:p>
      <w:pPr>
        <w:pStyle w:val="BodyText"/>
      </w:pPr>
      <w:r>
        <w:rPr>
          <w:bCs/>
          <w:b/>
        </w:rPr>
        <w:t xml:space="preserve">Referral Conversion Rate (Partnerships)</w:t>
      </w:r>
      <w:r>
        <w:t xml:space="preserve">65%</w:t>
      </w:r>
    </w:p>
    <w:p>
      <w:pPr>
        <w:pStyle w:val="BodyText"/>
      </w:pPr>
      <w:r>
        <w:rPr>
          <w:bCs/>
          <w:b/>
        </w:rPr>
        <w:t xml:space="preserve">79%</w:t>
      </w:r>
    </w:p>
    <w:p>
      <w:pPr>
        <w:pStyle w:val="BodyText"/>
      </w:pPr>
      <w:r>
        <w:t xml:space="preserve">+14%</w:t>
      </w:r>
    </w:p>
    <w:p>
      <w:pPr>
        <w:pStyle w:val="BodyText"/>
      </w:pPr>
      <w:r>
        <w:rPr>
          <w:bCs/>
          <w:b/>
        </w:rPr>
        <w:t xml:space="preserve">Client Retention (Continuity of Care)</w:t>
      </w:r>
      <w:r>
        <w:t xml:space="preserve">80%</w:t>
      </w:r>
    </w:p>
    <w:p>
      <w:pPr>
        <w:pStyle w:val="BodyText"/>
      </w:pPr>
      <w:r>
        <w:rPr>
          <w:bCs/>
          <w:b/>
        </w:rPr>
        <w:t xml:space="preserve">86%</w:t>
      </w:r>
    </w:p>
    <w:p>
      <w:pPr>
        <w:pStyle w:val="BodyText"/>
      </w:pPr>
      <w:r>
        <w:t xml:space="preserve">+6%</w:t>
      </w:r>
    </w:p>
    <w:p>
      <w:pPr>
        <w:pStyle w:val="BodyText"/>
      </w:pPr>
      <w:r>
        <w:t xml:space="preserve">In Singapore Singapore, these "sales" achievements translate to tangible outcomes: 34% reduction in hospital readmissions for elderly clients and a 22% increase in youth employment referrals through social work partnerships.</w:t>
      </w:r>
    </w:p>
    <w:bookmarkEnd w:id="22"/>
    <w:bookmarkStart w:id="26" w:name="Xedc7097f46e88d03324e3724e53b6c6615685d1"/>
    <w:p>
      <w:pPr>
        <w:pStyle w:val="Heading2"/>
      </w:pPr>
      <w:r>
        <w:t xml:space="preserve">IV. Strategic Initiatives Driving Success</w:t>
      </w:r>
    </w:p>
    <w:p>
      <w:pPr>
        <w:pStyle w:val="FirstParagraph"/>
      </w:pPr>
      <w:r>
        <w:t xml:space="preserve">Social Workers in Singapore Singapore have pioneered innovative engagement models that function as "sales funnels" for community services:</w:t>
      </w:r>
    </w:p>
    <w:bookmarkStart w:id="23" w:name="X7e39f7aa43d329f78fd2f5c0ba5af3a978161d7"/>
    <w:p>
      <w:pPr>
        <w:pStyle w:val="Heading3"/>
      </w:pPr>
      <w:r>
        <w:t xml:space="preserve">A. Hyper-Localized Outreach (The "Singapore-first" Approach)</w:t>
      </w:r>
    </w:p>
    <w:p>
      <w:pPr>
        <w:pStyle w:val="FirstParagraph"/>
      </w:pPr>
      <w:r>
        <w:t xml:space="preserve">Teams deployed in Jurong West and Tampines conducted 47 community pop-ups targeting hawker centers, MRT stations, and void decks. This yielded a 41% higher sign-up rate than digital campaigns alone—proving that physical presence remains critical in Singapore's dense urban fabric.</w:t>
      </w:r>
    </w:p>
    <w:bookmarkEnd w:id="23"/>
    <w:bookmarkStart w:id="24" w:name="X55c9eff47611e5271772f22b9c0e43faeb01e60"/>
    <w:p>
      <w:pPr>
        <w:pStyle w:val="Heading3"/>
      </w:pPr>
      <w:r>
        <w:t xml:space="preserve">B. Cross-Sector Partnerships (The "Sales Alliance" Model)</w:t>
      </w:r>
    </w:p>
    <w:p>
      <w:pPr>
        <w:pStyle w:val="FirstParagraph"/>
      </w:pPr>
      <w:r>
        <w:t xml:space="preserve">Social Workers secured 15 new partnerships with local businesses (e.g., NTUC Income, DBS Bank) to co-design services. One initiative with SingPost integrated welfare support into postal delivery routes, capturing 290 previously unengaged clients—demonstrating how Singapore's logistics ecosystem can "sell" social services.</w:t>
      </w:r>
    </w:p>
    <w:bookmarkEnd w:id="24"/>
    <w:bookmarkStart w:id="25" w:name="c.-digital-sales-enablement"/>
    <w:p>
      <w:pPr>
        <w:pStyle w:val="Heading3"/>
      </w:pPr>
      <w:r>
        <w:t xml:space="preserve">C. Digital Sales Enablement</w:t>
      </w:r>
    </w:p>
    <w:p>
      <w:pPr>
        <w:pStyle w:val="FirstParagraph"/>
      </w:pPr>
      <w:r>
        <w:t xml:space="preserve">Training Social Workers in MSF’s new "Digital Engagement Toolkit" increased virtual consultation conversions by 35%. For instance, a Malay-speaking team in Geylang used WhatsApp to reach low-income families, achieving a 68% follow-up rate—surpassing Singapore's average of 49% for digital outreach.</w:t>
      </w:r>
    </w:p>
    <w:bookmarkEnd w:id="25"/>
    <w:bookmarkEnd w:id="26"/>
    <w:bookmarkStart w:id="27" w:name="X8cbad2ea1a7c6059fd2f9b94ae09d65ef45c781"/>
    <w:p>
      <w:pPr>
        <w:pStyle w:val="Heading2"/>
      </w:pPr>
      <w:r>
        <w:t xml:space="preserve">V. Challenges &amp; Solutions (The "Obstacle Course" of Singapore Social Work)</w:t>
      </w:r>
    </w:p>
    <w:p>
      <w:pPr>
        <w:pStyle w:val="FirstParagraph"/>
      </w:pPr>
      <w:r>
        <w:t xml:space="preserve">Operating in Singapore Singapore presents unique hurdles requiring adaptive "sales" strategies:</w:t>
      </w:r>
    </w:p>
    <w:p>
      <w:pPr>
        <w:pStyle w:val="BodyText"/>
      </w:pPr>
      <w:r>
        <w:rPr>
          <w:bCs/>
          <w:b/>
        </w:rPr>
        <w:t xml:space="preserve">Challenge: Cultural Stigma Around Mental Health</w:t>
      </w:r>
      <w:r>
        <w:br/>
      </w:r>
      <w:r>
        <w:rPr>
          <w:bCs/>
          <w:b/>
        </w:rPr>
        <w:t xml:space="preserve">Solution:</w:t>
      </w:r>
      <w:r>
        <w:t xml:space="preserve"> </w:t>
      </w:r>
      <w:r>
        <w:t xml:space="preserve">Co-created "Wellness Ambassadors" program with religious leaders (e.g., Muslim Youth Group, Catholic Church) reduced stigma by 27% in targeted communities. Social Workers now "sell" services through trusted influencers—not cold calls.</w:t>
      </w:r>
    </w:p>
    <w:p>
      <w:pPr>
        <w:pStyle w:val="BodyText"/>
      </w:pPr>
      <w:r>
        <w:rPr>
          <w:bCs/>
          <w:b/>
        </w:rPr>
        <w:t xml:space="preserve">Challenge: Bureaucratic Service Silos</w:t>
      </w:r>
      <w:r>
        <w:br/>
      </w:r>
      <w:r>
        <w:rPr>
          <w:bCs/>
          <w:b/>
        </w:rPr>
        <w:t xml:space="preserve">Solution:</w:t>
      </w:r>
      <w:r>
        <w:t xml:space="preserve"> </w:t>
      </w:r>
      <w:r>
        <w:t xml:space="preserve">Launched Singapore's first "One-Stop Social Portal" (integrated with Singpass), allowing clients to access housing, healthcare, and counseling services via a single point. This eliminated 72% of referral delays—a critical "sales friction" in Singapore's ecosystem.</w:t>
      </w:r>
    </w:p>
    <w:bookmarkEnd w:id="27"/>
    <w:bookmarkStart w:id="28" w:name="X6e031b4e09b35aa2dc2c3dd6e5a1bdbad6434fe"/>
    <w:p>
      <w:pPr>
        <w:pStyle w:val="Heading2"/>
      </w:pPr>
      <w:r>
        <w:t xml:space="preserve">VI. Future Outlook &amp; Strategic Recommendations</w:t>
      </w:r>
    </w:p>
    <w:p>
      <w:pPr>
        <w:pStyle w:val="FirstParagraph"/>
      </w:pPr>
      <w:r>
        <w:t xml:space="preserve">With Singapore Singapore’s social service demand projected to grow by 30% by 2025, Social Workers must scale their "sales" capabilities through:</w:t>
      </w:r>
    </w:p>
    <w:p>
      <w:pPr>
        <w:numPr>
          <w:ilvl w:val="0"/>
          <w:numId w:val="1002"/>
        </w:numPr>
        <w:pStyle w:val="Compact"/>
      </w:pPr>
      <w:r>
        <w:rPr>
          <w:bCs/>
          <w:b/>
        </w:rPr>
        <w:t xml:space="preserve">AI-Powered Client Insights:</w:t>
      </w:r>
      <w:r>
        <w:t xml:space="preserve"> </w:t>
      </w:r>
      <w:r>
        <w:t xml:space="preserve">Partner with GovTech to predict service needs using anonymized data (e.g., identifying elderly households at risk of isolation during festive seasons).</w:t>
      </w:r>
    </w:p>
    <w:p>
      <w:pPr>
        <w:numPr>
          <w:ilvl w:val="0"/>
          <w:numId w:val="1002"/>
        </w:numPr>
        <w:pStyle w:val="Compact"/>
      </w:pPr>
      <w:r>
        <w:rPr>
          <w:bCs/>
          <w:b/>
        </w:rPr>
        <w:t xml:space="preserve">Social Worker "Sales" Certification:</w:t>
      </w:r>
      <w:r>
        <w:t xml:space="preserve"> </w:t>
      </w:r>
      <w:r>
        <w:t xml:space="preserve">Develop MSF-approved training for Social Workers to master engagement metrics, mirroring commercial sales excellence.</w:t>
      </w:r>
    </w:p>
    <w:p>
      <w:pPr>
        <w:numPr>
          <w:ilvl w:val="0"/>
          <w:numId w:val="1002"/>
        </w:numPr>
        <w:pStyle w:val="Compact"/>
      </w:pPr>
      <w:r>
        <w:rPr>
          <w:bCs/>
          <w:b/>
        </w:rPr>
        <w:t xml:space="preserve">Singapore-Specific Service Bundling:</w:t>
      </w:r>
      <w:r>
        <w:t xml:space="preserve"> </w:t>
      </w:r>
      <w:r>
        <w:t xml:space="preserve">Create packages like "Family Resilience Kits" (combining childcare, financial counseling, and elder care) for holistic community adoption.</w:t>
      </w:r>
    </w:p>
    <w:bookmarkEnd w:id="28"/>
    <w:bookmarkStart w:id="29" w:name="vii.-conclusion"/>
    <w:p>
      <w:pPr>
        <w:pStyle w:val="Heading2"/>
      </w:pPr>
      <w:r>
        <w:t xml:space="preserve">VII. Conclusion</w:t>
      </w:r>
    </w:p>
    <w:p>
      <w:pPr>
        <w:pStyle w:val="FirstParagraph"/>
      </w:pPr>
      <w:r>
        <w:t xml:space="preserve">The Social Worker is Singapore's most effective "salesforce" for societal well-being—proving that in the marketplace of human need, trust is the ultimate currency. In Singapore Singapore, where community cohesion drives national success, our Social Workers have not merely met targets; they've redefined what "sales performance" means. The 2023 Q3 report confirms: when social impact is measured through engagement depth (not just transaction volume), Singapore's Social Workers deliver unmatched value to every client and community they serve. This model is now being replicated across ASEAN, but its roots remain deeply embedded in the Singapore Singapore context—a testament to our local excellence.</w:t>
      </w:r>
    </w:p>
    <w:p>
      <w:pPr>
        <w:pStyle w:val="BodyText"/>
      </w:pPr>
      <w:r>
        <w:rPr>
          <w:bCs/>
          <w:b/>
        </w:rPr>
        <w:t xml:space="preserve">Prepared by:</w:t>
      </w:r>
      <w:r>
        <w:t xml:space="preserve"> </w:t>
      </w:r>
      <w:r>
        <w:t xml:space="preserve">National Social Work Performance Directorate</w:t>
      </w:r>
      <w:r>
        <w:br/>
      </w:r>
      <w:r>
        <w:rPr>
          <w:bCs/>
          <w:b/>
        </w:rPr>
        <w:t xml:space="preserve">For Review:</w:t>
      </w:r>
      <w:r>
        <w:t xml:space="preserve"> </w:t>
      </w:r>
      <w:r>
        <w:t xml:space="preserve">Ministry of Social and Family Development (MSF), Singapore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Performance in Singapore Singapore</dc:title>
  <dc:creator/>
  <cp:keywords/>
  <dcterms:created xsi:type="dcterms:W3CDTF">2026-07-23T20:54:05Z</dcterms:created>
  <dcterms:modified xsi:type="dcterms:W3CDTF">2026-07-23T20:54:05Z</dcterms:modified>
</cp:coreProperties>
</file>

<file path=docProps/custom.xml><?xml version="1.0" encoding="utf-8"?>
<Properties xmlns="http://schemas.openxmlformats.org/officeDocument/2006/custom-properties" xmlns:vt="http://schemas.openxmlformats.org/officeDocument/2006/docPropsVTypes"/>
</file>