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Performance</w:t>
      </w:r>
      <w:r>
        <w:t xml:space="preserve"> </w:t>
      </w:r>
      <w:r>
        <w:t xml:space="preserve">in</w:t>
      </w:r>
      <w:r>
        <w:t xml:space="preserve"> </w:t>
      </w:r>
      <w:r>
        <w:t xml:space="preserve">Turkey</w:t>
      </w:r>
      <w:r>
        <w:t xml:space="preserve"> </w:t>
      </w:r>
      <w:r>
        <w:t xml:space="preserve">Ankara</w:t>
      </w:r>
    </w:p>
    <w:bookmarkStart w:id="28" w:name="Xb17aca9be8cf5d58b725b6e97711ffd2c79bdec"/>
    <w:p>
      <w:pPr>
        <w:pStyle w:val="Heading1"/>
      </w:pPr>
      <w:r>
        <w:t xml:space="preserve">ANNUAL SALES REPORT: SOCIAL WORKER PERFORMANCE ANALYSIS IN ANKARA, TURKEY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Ankara Social Services Directorate, Ministry of Family and Social Policies</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operational performance of social workers across Ankara Province during the fiscal year 2023. As Turkey's capital and largest urban center, Ankara presents unique socioeconomic challenges requiring specialized social service delivery. The report quantifies "sales" metrics through client engagement volumes, service completion rates, and community impact indicators—measuring success in terms of human outcomes rather than financial transactions. Overall performance demonstrated a 22% year-over-year increase in effective case resolution across all districts of Turkey Ankara, significantly exceeding national targets for social welfare interventions.</w:t>
      </w:r>
    </w:p>
    <w:bookmarkEnd w:id="20"/>
    <w:bookmarkStart w:id="21" w:name="X7d1a8a5ed286424395a1b1a4772ba3e6820a0aa"/>
    <w:p>
      <w:pPr>
        <w:pStyle w:val="Heading2"/>
      </w:pPr>
      <w:r>
        <w:t xml:space="preserve">II. Methodology: Defining "Sales" in Social Work Context</w:t>
      </w:r>
    </w:p>
    <w:p>
      <w:pPr>
        <w:pStyle w:val="FirstParagraph"/>
      </w:pPr>
      <w:r>
        <w:t xml:space="preserve">Traditional sales metrics are adapted here to reflect social service delivery excellence:</w:t>
      </w:r>
    </w:p>
    <w:p>
      <w:pPr>
        <w:numPr>
          <w:ilvl w:val="0"/>
          <w:numId w:val="1001"/>
        </w:numPr>
        <w:pStyle w:val="Compact"/>
      </w:pPr>
      <w:r>
        <w:rPr>
          <w:bCs/>
          <w:b/>
        </w:rPr>
        <w:t xml:space="preserve">Clients Served (Our "Product"):</w:t>
      </w:r>
      <w:r>
        <w:t xml:space="preserve"> </w:t>
      </w:r>
      <w:r>
        <w:t xml:space="preserve">Total individuals receiving direct support services</w:t>
      </w:r>
    </w:p>
    <w:p>
      <w:pPr>
        <w:numPr>
          <w:ilvl w:val="0"/>
          <w:numId w:val="1001"/>
        </w:numPr>
        <w:pStyle w:val="Compact"/>
      </w:pPr>
      <w:r>
        <w:rPr>
          <w:bCs/>
          <w:b/>
        </w:rPr>
        <w:t xml:space="preserve">Case Closure Rate (Conversion Success):</w:t>
      </w:r>
      <w:r>
        <w:t xml:space="preserve"> </w:t>
      </w:r>
      <w:r>
        <w:t xml:space="preserve">Percentage of cases achieving resolution goals</w:t>
      </w:r>
    </w:p>
    <w:p>
      <w:pPr>
        <w:numPr>
          <w:ilvl w:val="0"/>
          <w:numId w:val="1001"/>
        </w:numPr>
        <w:pStyle w:val="Compact"/>
      </w:pPr>
      <w:r>
        <w:rPr>
          <w:bCs/>
          <w:b/>
        </w:rPr>
        <w:t xml:space="preserve">Client Retention Rate (Repeat Engagement):</w:t>
      </w:r>
      <w:r>
        <w:t xml:space="preserve"> </w:t>
      </w:r>
      <w:r>
        <w:t xml:space="preserve">Proportion of clients continuing services after initial contact</w:t>
      </w:r>
    </w:p>
    <w:p>
      <w:pPr>
        <w:numPr>
          <w:ilvl w:val="0"/>
          <w:numId w:val="1001"/>
        </w:numPr>
        <w:pStyle w:val="Compact"/>
      </w:pPr>
      <w:r>
        <w:rPr>
          <w:bCs/>
          <w:b/>
        </w:rPr>
        <w:t xml:space="preserve">Social Impact Value (Revenue Equivalent):</w:t>
      </w:r>
      <w:r>
        <w:t xml:space="preserve"> </w:t>
      </w:r>
      <w:r>
        <w:t xml:space="preserve">Metric translating service outcomes to community benefits</w:t>
      </w:r>
    </w:p>
    <w:p>
      <w:pPr>
        <w:pStyle w:val="FirstParagraph"/>
      </w:pPr>
      <w:r>
        <w:t xml:space="preserve">This framework acknowledges that in Turkey Ankara, the "sale" represents meaningful human connection and systemic change—not commercial transactions.</w:t>
      </w:r>
    </w:p>
    <w:bookmarkEnd w:id="21"/>
    <w:bookmarkStart w:id="23" w:name="X70ac11159e02382d07d44d579dbd9a66b76f16f"/>
    <w:p>
      <w:pPr>
        <w:pStyle w:val="Heading2"/>
      </w:pPr>
      <w:r>
        <w:t xml:space="preserve">III. Performance Metrics: Turkey Ankara Social Worker Sales Dashboard</w:t>
      </w:r>
    </w:p>
    <w:p>
      <w:pPr>
        <w:pStyle w:val="FirstParagraph"/>
      </w:pPr>
      <w:r>
        <w:t xml:space="preserve">KPI</w:t>
      </w:r>
    </w:p>
    <w:p>
      <w:pPr>
        <w:pStyle w:val="BodyText"/>
      </w:pPr>
      <w:r>
        <w:t xml:space="preserve">2023 Actual</w:t>
      </w:r>
    </w:p>
    <w:p>
      <w:pPr>
        <w:pStyle w:val="BodyText"/>
      </w:pPr>
      <w:r>
        <w:t xml:space="preserve">Target</w:t>
      </w:r>
    </w:p>
    <w:p>
      <w:pPr>
        <w:pStyle w:val="BodyText"/>
      </w:pPr>
      <w:r>
        <w:t xml:space="preserve">YoY Change</w:t>
      </w:r>
    </w:p>
    <w:p>
      <w:pPr>
        <w:pStyle w:val="BodyText"/>
      </w:pPr>
      <w:r>
        <w:t xml:space="preserve">Clients Served in Ankara Province</w:t>
      </w:r>
    </w:p>
    <w:p>
      <w:pPr>
        <w:pStyle w:val="BodyText"/>
      </w:pPr>
      <w:r>
        <w:t xml:space="preserve">18,475</w:t>
      </w:r>
    </w:p>
    <w:p>
      <w:pPr>
        <w:pStyle w:val="BodyText"/>
      </w:pPr>
      <w:r>
        <w:t xml:space="preserve">15,200</w:t>
      </w:r>
    </w:p>
    <w:p>
      <w:pPr>
        <w:pStyle w:val="BodyText"/>
      </w:pPr>
      <w:r>
        <w:t xml:space="preserve">+21.6%</w:t>
      </w:r>
    </w:p>
    <w:p>
      <w:pPr>
        <w:pStyle w:val="BodyText"/>
      </w:pPr>
      <w:r>
        <w:t xml:space="preserve">Case Closure Rate (Target: 85%)</w:t>
      </w:r>
    </w:p>
    <w:p>
      <w:pPr>
        <w:pStyle w:val="BodyText"/>
      </w:pPr>
      <w:r>
        <w:t xml:space="preserve">92.3%</w:t>
      </w:r>
    </w:p>
    <w:p>
      <w:pPr>
        <w:pStyle w:val="BodyText"/>
      </w:pPr>
      <w:r>
        <w:t xml:space="preserve">85%</w:t>
      </w:r>
    </w:p>
    <w:p>
      <w:pPr>
        <w:pStyle w:val="BodyText"/>
      </w:pPr>
      <w:r>
        <w:t xml:space="preserve">+7.3 pp</w:t>
      </w:r>
    </w:p>
    <w:p>
      <w:pPr>
        <w:pStyle w:val="BodyText"/>
      </w:pPr>
      <w:r>
        <w:t xml:space="preserve">Client Retention Rate</w:t>
      </w:r>
    </w:p>
    <w:p>
      <w:pPr>
        <w:pStyle w:val="BodyText"/>
      </w:pPr>
      <w:r>
        <w:t xml:space="preserve">76.5%</w:t>
      </w:r>
    </w:p>
    <w:p>
      <w:pPr>
        <w:pStyle w:val="BodyText"/>
      </w:pPr>
      <w:r>
        <w:t xml:space="preserve">70%</w:t>
      </w:r>
      <w:r>
        <w:t xml:space="preserve"> </w:t>
      </w:r>
      <w:r>
        <w:t xml:space="preserve">+6.5 pp</w:t>
      </w:r>
    </w:p>
    <w:p>
      <w:pPr>
        <w:pStyle w:val="BodyText"/>
      </w:pPr>
      <w:r>
        <w:t xml:space="preserve">Average Service Duration (Days)</w:t>
      </w:r>
    </w:p>
    <w:p>
      <w:pPr>
        <w:pStyle w:val="BodyText"/>
      </w:pPr>
      <w:r>
        <w:t xml:space="preserve">42</w:t>
      </w:r>
    </w:p>
    <w:p>
      <w:pPr>
        <w:pStyle w:val="BodyText"/>
      </w:pPr>
      <w:r>
        <w:t xml:space="preserve">48</w:t>
      </w:r>
    </w:p>
    <w:p>
      <w:pPr>
        <w:pStyle w:val="BodyText"/>
      </w:pPr>
      <w:r>
        <w:t xml:space="preserve">-12.5%</w:t>
      </w:r>
    </w:p>
    <w:bookmarkStart w:id="22" w:name="key-insights-from-ankara-sales-data"/>
    <w:p>
      <w:pPr>
        <w:pStyle w:val="Heading3"/>
      </w:pPr>
      <w:r>
        <w:t xml:space="preserve">Key Insights from Ankara Sales Data:</w:t>
      </w:r>
    </w:p>
    <w:p>
      <w:pPr>
        <w:numPr>
          <w:ilvl w:val="0"/>
          <w:numId w:val="1002"/>
        </w:numPr>
        <w:pStyle w:val="Compact"/>
      </w:pPr>
      <w:r>
        <w:t xml:space="preserve">The highest "sales" growth occurred in Çankaya and Kızılay districts (+29% clients), correlating with new housing initiatives for displaced families.</w:t>
      </w:r>
    </w:p>
    <w:p>
      <w:pPr>
        <w:numPr>
          <w:ilvl w:val="0"/>
          <w:numId w:val="1002"/>
        </w:numPr>
        <w:pStyle w:val="Compact"/>
      </w:pPr>
      <w:r>
        <w:t xml:space="preserve">Child welfare services achieved 96.1% closure rate—exceeding national averages by 14.2 points due to Ankara-specific trauma support training programs.</w:t>
      </w:r>
    </w:p>
    <w:p>
      <w:pPr>
        <w:numPr>
          <w:ilvl w:val="0"/>
          <w:numId w:val="1002"/>
        </w:numPr>
        <w:pStyle w:val="Compact"/>
      </w:pPr>
      <w:r>
        <w:t xml:space="preserve">Retained clients showed 37% higher success in employment placement (vs. non-retained), demonstrating the "value" of sustained social worker engagement in Turkey Ankara's economic landscape.</w:t>
      </w:r>
    </w:p>
    <w:bookmarkEnd w:id="22"/>
    <w:bookmarkEnd w:id="23"/>
    <w:bookmarkStart w:id="24" w:name="X403aa559c773062b8c1b99b02b49251e7f9ac16"/>
    <w:p>
      <w:pPr>
        <w:pStyle w:val="Heading2"/>
      </w:pPr>
      <w:r>
        <w:t xml:space="preserve">IV. Regional Analysis: Social Worker Performance by District</w:t>
      </w:r>
    </w:p>
    <w:p>
      <w:pPr>
        <w:pStyle w:val="FirstParagraph"/>
      </w:pPr>
      <w:r>
        <w:rPr>
          <w:bCs/>
          <w:b/>
        </w:rPr>
        <w:t xml:space="preserve">Kızılay &amp; Çankaya (Ankara's Economic Heart):</w:t>
      </w:r>
    </w:p>
    <w:p>
      <w:pPr>
        <w:pStyle w:val="BodyText"/>
      </w:pPr>
      <w:r>
        <w:t xml:space="preserve">Delivered 38% of total province "sales" through corporate partnerships. Social workers secured 126 new employment placements via business collaborations, representing a $148,000 annual economic impact. The high client-to-social-worker ratio (1:35 vs national average 1:42) was offset by specialized digital case management systems implemented across these districts.</w:t>
      </w:r>
    </w:p>
    <w:p>
      <w:pPr>
        <w:pStyle w:val="BodyText"/>
      </w:pPr>
      <w:r>
        <w:rPr>
          <w:bCs/>
          <w:b/>
        </w:rPr>
        <w:t xml:space="preserve">Yenimahalle &amp; Sınırsız:</w:t>
      </w:r>
    </w:p>
    <w:p>
      <w:pPr>
        <w:pStyle w:val="BodyText"/>
      </w:pPr>
      <w:r>
        <w:t xml:space="preserve">This socioeconomically vulnerable region achieved the strongest retention rate (82.3%) through culturally tailored outreach. Social workers conducted 1,472 home visits in low-income housing areas—addressing Turkey Ankara's urban poverty challenges head-on. The district's "sales" growth (+31%) directly linked to Ramadan community food distribution partnerships.</w:t>
      </w:r>
    </w:p>
    <w:p>
      <w:pPr>
        <w:pStyle w:val="BodyText"/>
      </w:pPr>
      <w:r>
        <w:rPr>
          <w:bCs/>
          <w:b/>
        </w:rPr>
        <w:t xml:space="preserve">Bayrampaşa &amp; Gölbaşı (Rural-Urban Interface):</w:t>
      </w:r>
    </w:p>
    <w:p>
      <w:pPr>
        <w:pStyle w:val="BodyText"/>
      </w:pPr>
      <w:r>
        <w:t xml:space="preserve">Despite transportation challenges, social workers maintained 78% client retention by implementing mobile service units. The district's 28% "sales" growth was driven by agricultural support programs for rural migrants—a critical Turkey Ankara socioeconomic initiative.</w:t>
      </w:r>
    </w:p>
    <w:bookmarkEnd w:id="24"/>
    <w:bookmarkStart w:id="25" w:name="v.-challenges-in-turkey-ankara-context"/>
    <w:p>
      <w:pPr>
        <w:pStyle w:val="Heading2"/>
      </w:pPr>
      <w:r>
        <w:t xml:space="preserve">V. Challenges in Turkey Ankara Context</w:t>
      </w:r>
    </w:p>
    <w:p>
      <w:pPr>
        <w:pStyle w:val="FirstParagraph"/>
      </w:pPr>
      <w:r>
        <w:t xml:space="preserve">While performance exceeded targets, two systemic challenges impacted the Social Worker sales pipeline:</w:t>
      </w:r>
    </w:p>
    <w:p>
      <w:pPr>
        <w:numPr>
          <w:ilvl w:val="0"/>
          <w:numId w:val="1003"/>
        </w:numPr>
        <w:pStyle w:val="Compact"/>
      </w:pPr>
      <w:r>
        <w:rPr>
          <w:bCs/>
          <w:b/>
        </w:rPr>
        <w:t xml:space="preserve">Resource Constraints:</w:t>
      </w:r>
      <w:r>
        <w:t xml:space="preserve"> </w:t>
      </w:r>
      <w:r>
        <w:t xml:space="preserve">The 15% vacancy rate among social workers (vs. 8% national average) created service backlogs. In Ankara's rapidly growing population, this reduced potential "sales" by approximately 2,400 clients annually.</w:t>
      </w:r>
    </w:p>
    <w:p>
      <w:pPr>
        <w:numPr>
          <w:ilvl w:val="0"/>
          <w:numId w:val="1003"/>
        </w:numPr>
        <w:pStyle w:val="Compact"/>
      </w:pPr>
      <w:r>
        <w:rPr>
          <w:bCs/>
          <w:b/>
        </w:rPr>
        <w:t xml:space="preserve">Cultural Barriers:</w:t>
      </w:r>
      <w:r>
        <w:t xml:space="preserve"> </w:t>
      </w:r>
      <w:r>
        <w:t xml:space="preserve">Gender-specific services in conservative neighborhoods saw 22% lower initial engagement. Training programs addressing Turkey Ankara's cultural nuances are now prioritized in the 2024 sales strategy.</w:t>
      </w:r>
    </w:p>
    <w:bookmarkEnd w:id="25"/>
    <w:bookmarkStart w:id="26" w:name="Xac5be02b720d0b99410efa0391134da7cc12840"/>
    <w:p>
      <w:pPr>
        <w:pStyle w:val="Heading2"/>
      </w:pPr>
      <w:r>
        <w:t xml:space="preserve">VI. Strategic Recommendations for Enhanced Sales Performance</w:t>
      </w:r>
    </w:p>
    <w:p>
      <w:pPr>
        <w:pStyle w:val="FirstParagraph"/>
      </w:pPr>
      <w:r>
        <w:rPr>
          <w:bCs/>
          <w:b/>
        </w:rPr>
        <w:t xml:space="preserve">1. Targeted Hiring Initiative:</w:t>
      </w:r>
      <w:r>
        <w:t xml:space="preserve"> </w:t>
      </w:r>
      <w:r>
        <w:t xml:space="preserve">Allocate 35 new social worker positions specifically for Ankara's high-growth districts (Gölbaşı, Söğütözü). This will reduce client wait times by 40% and unlock an estimated 3,800 additional "sales" annually.</w:t>
      </w:r>
    </w:p>
    <w:p>
      <w:pPr>
        <w:pStyle w:val="BodyText"/>
      </w:pPr>
      <w:r>
        <w:rPr>
          <w:bCs/>
          <w:b/>
        </w:rPr>
        <w:t xml:space="preserve">2. Digital Transformation:</w:t>
      </w:r>
      <w:r>
        <w:t xml:space="preserve"> </w:t>
      </w:r>
      <w:r>
        <w:t xml:space="preserve">Implement a centralized CRM system for social workers in Turkey Ankara to replace paper-based tracking. Projected to increase case closure speed by 25% and improve data accuracy—critical for government reporting requirements under Turkey's Social Services Act No. 6973.</w:t>
      </w:r>
    </w:p>
    <w:p>
      <w:pPr>
        <w:pStyle w:val="BodyText"/>
      </w:pPr>
      <w:r>
        <w:rPr>
          <w:bCs/>
          <w:b/>
        </w:rPr>
        <w:t xml:space="preserve">3. Community Partnership Expansion:</w:t>
      </w:r>
      <w:r>
        <w:t xml:space="preserve"> </w:t>
      </w:r>
      <w:r>
        <w:t xml:space="preserve">Formalize agreements with Ankara-based NGOs like "Ankara Hayat" and "Sosyal Dayanışma Derneği" to co-deliver services. This leverages existing community trust to increase client acquisition by 18% in target districts.</w:t>
      </w:r>
    </w:p>
    <w:bookmarkEnd w:id="26"/>
    <w:bookmarkStart w:id="27" w:name="X758e2717fdb1f074439441dc759156c45292dc4"/>
    <w:p>
      <w:pPr>
        <w:pStyle w:val="Heading2"/>
      </w:pPr>
      <w:r>
        <w:t xml:space="preserve">VII. Conclusion: The Human Capital Investment</w:t>
      </w:r>
    </w:p>
    <w:p>
      <w:pPr>
        <w:pStyle w:val="FirstParagraph"/>
      </w:pPr>
      <w:r>
        <w:t xml:space="preserve">This Sales Report underscores that Turkey Ankara's social workers are not merely service providers—they are strategic economic and social capital drivers. The 92.3% case closure rate represents tangible "revenue" in community stability, reduced public health burdens, and enhanced urban productivity. As the city continues its rapid development under Turkey's National Development Plan 2023-2028, investing in Social Worker capacity isn't just compassionate—it's a high-yield economic strategy.</w:t>
      </w:r>
    </w:p>
    <w:p>
      <w:pPr>
        <w:pStyle w:val="BodyText"/>
      </w:pPr>
      <w:r>
        <w:t xml:space="preserve">With these recommendations implemented, Ankara can achieve a projected 35% growth in service "sales" by Q4 2024. Each client served represents not just a case closed, but a stronger family unit contributing to Turkey Ankara's sustainable future. The social work profession is proving that in the most dynamic city of Turkey, human connection generates the highest return on investment.</w:t>
      </w:r>
    </w:p>
    <w:p>
      <w:pPr>
        <w:pStyle w:val="BodyText"/>
      </w:pPr>
      <w:r>
        <w:rPr>
          <w:bCs/>
          <w:b/>
        </w:rPr>
        <w:t xml:space="preserve">Prepared By:</w:t>
      </w:r>
      <w:r>
        <w:t xml:space="preserve"> </w:t>
      </w:r>
      <w:r>
        <w:t xml:space="preserve">Ankara Social Services Analytics Division</w:t>
      </w:r>
      <w:r>
        <w:br/>
      </w:r>
      <w:r>
        <w:rPr>
          <w:bCs/>
          <w:b/>
        </w:rPr>
        <w:t xml:space="preserve">Contact:</w:t>
      </w:r>
      <w:r>
        <w:t xml:space="preserve"> </w:t>
      </w:r>
      <w:r>
        <w:t xml:space="preserve">analytics@ankarasosyal.gov.tr | +90 312 555 6789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Performance in Turkey Ankara</dc:title>
  <dc:creator/>
  <dc:language>en</dc:language>
  <cp:keywords/>
  <dcterms:created xsi:type="dcterms:W3CDTF">2026-07-21T16:00:17Z</dcterms:created>
  <dcterms:modified xsi:type="dcterms:W3CDTF">2026-07-21T16:00:17Z</dcterms:modified>
</cp:coreProperties>
</file>

<file path=docProps/custom.xml><?xml version="1.0" encoding="utf-8"?>
<Properties xmlns="http://schemas.openxmlformats.org/officeDocument/2006/custom-properties" xmlns:vt="http://schemas.openxmlformats.org/officeDocument/2006/docPropsVTypes"/>
</file>